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MS001.01.00</w:t>
      </w:r>
      <w:r>
        <w:rPr>
          <w:rFonts w:hint="eastAsia" w:ascii="宋体" w:hAnsi="宋体" w:cs="宋体"/>
          <w:sz w:val="24"/>
          <w:szCs w:val="24"/>
          <w:lang w:val="en-US" w:eastAsia="zh-CN"/>
        </w:rPr>
        <w:t>8</w:t>
      </w:r>
      <w:r>
        <w:rPr>
          <w:rFonts w:hint="eastAsia" w:ascii="宋体" w:hAnsi="宋体" w:eastAsia="宋体" w:cs="宋体"/>
          <w:sz w:val="24"/>
          <w:szCs w:val="24"/>
          <w:lang w:val="en-US" w:eastAsia="zh-CN"/>
        </w:rPr>
        <w:t>TR.1.0</w:t>
      </w:r>
    </w:p>
    <w:p>
      <w:pPr>
        <w:rPr>
          <w:rFonts w:hint="default" w:ascii="Times New Roman" w:hAnsi="Times New Roman" w:eastAsia="宋体" w:cs="Times New Roman"/>
          <w:sz w:val="21"/>
          <w:szCs w:val="24"/>
          <w:lang w:val="en-US" w:eastAsia="zh-CN"/>
        </w:rPr>
      </w:pPr>
    </w:p>
    <w:p>
      <w:pPr>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both"/>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r>
        <w:rPr>
          <w:rFonts w:hint="eastAsia" w:asciiTheme="minorEastAsia" w:hAnsiTheme="minorEastAsia" w:eastAsiaTheme="minorEastAsia" w:cstheme="minorEastAsia"/>
          <w:b/>
          <w:bCs/>
          <w:sz w:val="52"/>
          <w:szCs w:val="52"/>
          <w:lang w:val="en-US" w:eastAsia="zh-CN"/>
        </w:rPr>
        <w:t>MS-001可用性分析报告</w:t>
      </w: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tbl>
      <w:tblPr>
        <w:tblStyle w:val="18"/>
        <w:tblpPr w:leftFromText="180" w:rightFromText="180" w:vertAnchor="text" w:horzAnchor="page" w:tblpX="2474" w:tblpY="211"/>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8"/>
        <w:gridCol w:w="50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2"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编写人/时间：</w:t>
            </w:r>
          </w:p>
        </w:tc>
        <w:tc>
          <w:tcPr>
            <w:tcW w:w="5046" w:type="dxa"/>
            <w:tcBorders>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2"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审核人/时间：</w:t>
            </w:r>
          </w:p>
        </w:tc>
        <w:tc>
          <w:tcPr>
            <w:tcW w:w="5046" w:type="dxa"/>
            <w:tcBorders>
              <w:top w:val="single" w:color="auto" w:sz="4" w:space="0"/>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7"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批准人/时间：</w:t>
            </w:r>
          </w:p>
        </w:tc>
        <w:tc>
          <w:tcPr>
            <w:tcW w:w="5046" w:type="dxa"/>
            <w:tcBorders>
              <w:top w:val="single" w:color="auto" w:sz="4" w:space="0"/>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bl>
    <w:p>
      <w:pPr>
        <w:rPr>
          <w:rFonts w:hint="default" w:ascii="Times New Roman" w:hAnsi="Times New Roman" w:eastAsia="宋体" w:cs="Times New Roman"/>
          <w:lang w:val="en-US" w:eastAsia="zh-CN"/>
        </w:rPr>
      </w:pPr>
    </w:p>
    <w:p>
      <w:pPr>
        <w:spacing w:line="360" w:lineRule="auto"/>
        <w:jc w:val="cente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jc w:val="center"/>
        <w:rPr>
          <w:rFonts w:hint="default" w:ascii="Times New Roman" w:hAnsi="Times New Roman" w:cs="Times New Roman"/>
          <w:b/>
          <w:bCs w:val="0"/>
          <w:sz w:val="32"/>
          <w:szCs w:val="40"/>
          <w:lang w:val="en-US" w:eastAsia="zh-CN"/>
        </w:rPr>
      </w:pPr>
      <w:r>
        <w:rPr>
          <w:rFonts w:hAnsi="宋体"/>
          <w:b/>
          <w:bCs w:val="0"/>
          <w:szCs w:val="21"/>
        </w:rPr>
        <w:t>杭州三坛医疗科技有限公司</w:t>
      </w:r>
    </w:p>
    <w:p>
      <w:pPr>
        <w:rPr>
          <w:rFonts w:hint="default" w:ascii="Times New Roman" w:hAnsi="Times New Roman" w:cs="Times New Roman"/>
          <w:sz w:val="32"/>
          <w:szCs w:val="40"/>
          <w:lang w:val="en-US" w:eastAsia="zh-CN"/>
        </w:rPr>
      </w:pPr>
      <w:r>
        <w:rPr>
          <w:rFonts w:hint="default" w:ascii="Times New Roman" w:hAnsi="Times New Roman" w:cs="Times New Roman"/>
          <w:sz w:val="32"/>
          <w:szCs w:val="40"/>
          <w:lang w:val="en-US" w:eastAsia="zh-CN"/>
        </w:rPr>
        <w:br w:type="page"/>
      </w:r>
    </w:p>
    <w:p>
      <w:pPr>
        <w:bidi w:val="0"/>
        <w:rPr>
          <w:rFonts w:hint="eastAsia"/>
          <w:b/>
          <w:bCs/>
          <w:lang w:val="en-US" w:eastAsia="zh-CN"/>
        </w:rPr>
      </w:pPr>
      <w:r>
        <w:rPr>
          <w:rFonts w:hint="eastAsia"/>
          <w:b/>
          <w:bCs/>
          <w:lang w:val="en-US" w:eastAsia="zh-CN"/>
        </w:rPr>
        <w:t>文档修订履历</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1741"/>
        <w:gridCol w:w="3994"/>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版本号</w:t>
            </w:r>
          </w:p>
        </w:tc>
        <w:tc>
          <w:tcPr>
            <w:tcW w:w="1985"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发布</w:t>
            </w:r>
            <w:r>
              <w:rPr>
                <w:rFonts w:ascii="Times New Roman" w:hAnsi="Times New Roman" w:cs="Times New Roman"/>
                <w:bCs/>
                <w:szCs w:val="21"/>
              </w:rPr>
              <w:t>/</w:t>
            </w:r>
            <w:r>
              <w:rPr>
                <w:rFonts w:ascii="Times New Roman" w:hAnsi="宋体" w:cs="Times New Roman"/>
                <w:bCs/>
                <w:szCs w:val="21"/>
              </w:rPr>
              <w:t>实施日期</w:t>
            </w:r>
          </w:p>
        </w:tc>
        <w:tc>
          <w:tcPr>
            <w:tcW w:w="4678"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更改内容概述</w:t>
            </w:r>
          </w:p>
        </w:tc>
        <w:tc>
          <w:tcPr>
            <w:tcW w:w="1842"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r>
              <w:rPr>
                <w:rFonts w:hint="eastAsia" w:ascii="Times New Roman" w:hAnsi="Times New Roman" w:cs="Times New Roman"/>
                <w:bCs/>
                <w:szCs w:val="21"/>
                <w:lang w:val="en-US" w:eastAsia="zh-CN"/>
              </w:rPr>
              <w:t>V</w:t>
            </w:r>
            <w:r>
              <w:rPr>
                <w:rFonts w:ascii="Times New Roman" w:hAnsi="Times New Roman" w:cs="Times New Roman"/>
                <w:bCs/>
                <w:szCs w:val="21"/>
              </w:rPr>
              <w:t>1.0</w:t>
            </w: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p>
        </w:tc>
        <w:tc>
          <w:tcPr>
            <w:tcW w:w="4678" w:type="dxa"/>
            <w:noWrap w:val="0"/>
            <w:vAlign w:val="center"/>
          </w:tcPr>
          <w:p>
            <w:pPr>
              <w:widowControl/>
              <w:snapToGrid w:val="0"/>
              <w:spacing w:line="240" w:lineRule="auto"/>
              <w:rPr>
                <w:rFonts w:ascii="Times New Roman" w:hAnsi="Times New Roman" w:cs="Times New Roman"/>
                <w:bCs/>
                <w:szCs w:val="21"/>
              </w:rPr>
            </w:pPr>
            <w:r>
              <w:rPr>
                <w:rFonts w:ascii="Times New Roman" w:hAnsi="宋体" w:cs="Times New Roman"/>
                <w:bCs/>
                <w:szCs w:val="21"/>
              </w:rPr>
              <w:t>文件新编</w:t>
            </w: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bl>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bidi w:val="0"/>
        <w:rPr>
          <w:b/>
          <w:bCs/>
        </w:rPr>
      </w:pPr>
      <w:r>
        <w:rPr>
          <w:rFonts w:hint="eastAsia"/>
          <w:b/>
          <w:bCs/>
        </w:rPr>
        <w:t>保密条款</w:t>
      </w:r>
    </w:p>
    <w:p>
      <w:pPr>
        <w:ind w:firstLine="420"/>
        <w:jc w:val="left"/>
        <w:rPr>
          <w:rFonts w:hint="default" w:ascii="Times New Roman" w:hAnsi="Times New Roman" w:cs="Times New Roman"/>
          <w:sz w:val="32"/>
          <w:szCs w:val="40"/>
          <w:lang w:val="en-US" w:eastAsia="zh-CN"/>
        </w:rPr>
      </w:pPr>
      <w:r>
        <w:rPr>
          <w:rFonts w:hint="eastAsia"/>
          <w:i w:val="0"/>
          <w:iCs/>
        </w:rPr>
        <w:t>文档仅限</w:t>
      </w:r>
      <w:r>
        <w:rPr>
          <w:rFonts w:hint="eastAsia"/>
          <w:i w:val="0"/>
          <w:iCs/>
          <w:lang w:eastAsia="zh-CN"/>
        </w:rPr>
        <w:t>产品（</w:t>
      </w:r>
      <w:r>
        <w:rPr>
          <w:rFonts w:hint="eastAsia"/>
          <w:i w:val="0"/>
          <w:iCs/>
        </w:rPr>
        <w:t>项目</w:t>
      </w:r>
      <w:r>
        <w:rPr>
          <w:rFonts w:hint="eastAsia"/>
          <w:i w:val="0"/>
          <w:iCs/>
          <w:lang w:eastAsia="zh-CN"/>
        </w:rPr>
        <w:t>）</w:t>
      </w:r>
      <w:r>
        <w:rPr>
          <w:rFonts w:hint="eastAsia"/>
          <w:i w:val="0"/>
          <w:iCs/>
        </w:rPr>
        <w:t>组内流转，违者负相应法律责任</w:t>
      </w:r>
      <w:r>
        <w:rPr>
          <w:rFonts w:hint="eastAsia"/>
          <w:i w:val="0"/>
          <w:iCs/>
          <w:lang w:eastAsia="zh-CN"/>
        </w:rPr>
        <w:t>。</w:t>
      </w:r>
      <w:r>
        <w:rPr>
          <w:rFonts w:hint="default" w:ascii="Times New Roman" w:hAnsi="Times New Roman" w:cs="Times New Roman"/>
          <w:sz w:val="32"/>
          <w:szCs w:val="40"/>
          <w:lang w:val="en-US" w:eastAsia="zh-CN"/>
        </w:rPr>
        <w:br w:type="page"/>
      </w:r>
    </w:p>
    <w:p>
      <w:pPr>
        <w:spacing w:before="0" w:beforeLines="0" w:after="0" w:afterLines="0" w:line="240" w:lineRule="auto"/>
        <w:ind w:left="0" w:leftChars="0" w:right="0" w:rightChars="0" w:firstLine="0" w:firstLineChars="0"/>
        <w:jc w:val="center"/>
        <w:rPr>
          <w:b/>
          <w:bCs/>
          <w:sz w:val="28"/>
          <w:szCs w:val="28"/>
        </w:rPr>
      </w:pPr>
      <w:r>
        <w:rPr>
          <w:rFonts w:ascii="宋体" w:hAnsi="宋体" w:eastAsia="宋体"/>
          <w:b/>
          <w:bCs/>
          <w:sz w:val="28"/>
          <w:szCs w:val="28"/>
        </w:rPr>
        <w:t>目录</w:t>
      </w:r>
    </w:p>
    <w:p>
      <w:pPr>
        <w:pStyle w:val="3"/>
        <w:tabs>
          <w:tab w:val="right" w:leader="dot" w:pos="8306"/>
        </w:tabs>
      </w:pPr>
      <w:r>
        <w:fldChar w:fldCharType="begin"/>
      </w:r>
      <w:r>
        <w:instrText xml:space="preserve">TOC \o "1-3" \h \u </w:instrText>
      </w:r>
      <w:r>
        <w:fldChar w:fldCharType="separate"/>
      </w:r>
      <w:r>
        <w:fldChar w:fldCharType="begin"/>
      </w:r>
      <w:r>
        <w:instrText xml:space="preserve"> HYPERLINK \l _Toc25037 </w:instrText>
      </w:r>
      <w:r>
        <w:fldChar w:fldCharType="separate"/>
      </w:r>
      <w:r>
        <w:rPr>
          <w:rFonts w:hint="eastAsia" w:ascii="宋体" w:hAnsi="宋体" w:eastAsia="宋体" w:cs="宋体"/>
          <w:lang w:eastAsia="zh-CN"/>
        </w:rPr>
        <w:t xml:space="preserve">第一章 </w:t>
      </w:r>
      <w:r>
        <w:rPr>
          <w:rFonts w:hint="eastAsia"/>
          <w:lang w:eastAsia="zh-CN"/>
        </w:rPr>
        <w:t>引言</w:t>
      </w:r>
      <w:r>
        <w:tab/>
      </w:r>
      <w:r>
        <w:fldChar w:fldCharType="begin"/>
      </w:r>
      <w:r>
        <w:instrText xml:space="preserve"> PAGEREF _Toc25037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_Toc20896 </w:instrText>
      </w:r>
      <w:r>
        <w:fldChar w:fldCharType="separate"/>
      </w:r>
      <w:r>
        <w:rPr>
          <w:rFonts w:hint="eastAsia" w:ascii="宋体" w:hAnsi="宋体" w:eastAsia="宋体" w:cs="宋体"/>
          <w:lang w:eastAsia="zh-CN"/>
        </w:rPr>
        <w:t xml:space="preserve">1.1 </w:t>
      </w:r>
      <w:r>
        <w:rPr>
          <w:rFonts w:hint="eastAsia"/>
          <w:lang w:eastAsia="zh-CN"/>
        </w:rPr>
        <w:t>编写目的</w:t>
      </w:r>
      <w:r>
        <w:tab/>
      </w:r>
      <w:r>
        <w:fldChar w:fldCharType="begin"/>
      </w:r>
      <w:r>
        <w:instrText xml:space="preserve"> PAGEREF _Toc20896 \h </w:instrText>
      </w:r>
      <w:r>
        <w:fldChar w:fldCharType="separate"/>
      </w:r>
      <w:r>
        <w:t>1</w:t>
      </w:r>
      <w:r>
        <w:fldChar w:fldCharType="end"/>
      </w:r>
      <w:r>
        <w:fldChar w:fldCharType="end"/>
      </w:r>
    </w:p>
    <w:p>
      <w:pPr>
        <w:pStyle w:val="16"/>
        <w:tabs>
          <w:tab w:val="right" w:leader="dot" w:pos="8306"/>
        </w:tabs>
      </w:pPr>
      <w:r>
        <w:fldChar w:fldCharType="begin"/>
      </w:r>
      <w:r>
        <w:instrText xml:space="preserve"> HYPERLINK \l _Toc11715 </w:instrText>
      </w:r>
      <w:r>
        <w:fldChar w:fldCharType="separate"/>
      </w:r>
      <w:r>
        <w:rPr>
          <w:rFonts w:hint="eastAsia" w:ascii="宋体" w:hAnsi="宋体" w:eastAsia="宋体" w:cs="宋体"/>
          <w:lang w:eastAsia="zh-CN"/>
        </w:rPr>
        <w:t xml:space="preserve">1.2 </w:t>
      </w:r>
      <w:r>
        <w:rPr>
          <w:rFonts w:hint="eastAsia"/>
          <w:lang w:eastAsia="zh-CN"/>
        </w:rPr>
        <w:t>适用范围</w:t>
      </w:r>
      <w:r>
        <w:tab/>
      </w:r>
      <w:r>
        <w:fldChar w:fldCharType="begin"/>
      </w:r>
      <w:r>
        <w:instrText xml:space="preserve"> PAGEREF _Toc11715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_Toc7672 </w:instrText>
      </w:r>
      <w:r>
        <w:fldChar w:fldCharType="separate"/>
      </w:r>
      <w:r>
        <w:rPr>
          <w:rFonts w:hint="eastAsia" w:ascii="宋体" w:hAnsi="宋体" w:eastAsia="宋体" w:cs="宋体"/>
          <w:lang w:val="en-US" w:eastAsia="zh-CN"/>
        </w:rPr>
        <w:t xml:space="preserve">第二章 </w:t>
      </w:r>
      <w:r>
        <w:rPr>
          <w:rFonts w:hint="eastAsia"/>
          <w:lang w:val="en-US" w:eastAsia="zh-CN"/>
        </w:rPr>
        <w:t>引用</w:t>
      </w:r>
      <w:r>
        <w:tab/>
      </w:r>
      <w:r>
        <w:fldChar w:fldCharType="begin"/>
      </w:r>
      <w:r>
        <w:instrText xml:space="preserve"> PAGEREF _Toc7672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_Toc26926 </w:instrText>
      </w:r>
      <w:r>
        <w:fldChar w:fldCharType="separate"/>
      </w:r>
      <w:r>
        <w:rPr>
          <w:rFonts w:hint="eastAsia" w:ascii="宋体" w:hAnsi="宋体" w:eastAsia="宋体" w:cs="宋体"/>
          <w:lang w:eastAsia="zh-CN"/>
        </w:rPr>
        <w:t xml:space="preserve">第三章 </w:t>
      </w:r>
      <w:r>
        <w:rPr>
          <w:rFonts w:hint="eastAsia"/>
          <w:lang w:val="en-US" w:eastAsia="zh-CN"/>
        </w:rPr>
        <w:t>术语和定义</w:t>
      </w:r>
      <w:r>
        <w:tab/>
      </w:r>
      <w:r>
        <w:fldChar w:fldCharType="begin"/>
      </w:r>
      <w:r>
        <w:instrText xml:space="preserve"> PAGEREF _Toc26926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_Toc30463 </w:instrText>
      </w:r>
      <w:r>
        <w:fldChar w:fldCharType="separate"/>
      </w:r>
      <w:r>
        <w:rPr>
          <w:rFonts w:hint="eastAsia" w:ascii="宋体" w:hAnsi="宋体" w:eastAsia="宋体" w:cs="宋体"/>
          <w:lang w:eastAsia="zh-CN"/>
        </w:rPr>
        <w:t xml:space="preserve">第四章 </w:t>
      </w:r>
      <w:r>
        <w:rPr>
          <w:rFonts w:hint="eastAsia"/>
          <w:lang w:val="en-US" w:eastAsia="zh-CN"/>
        </w:rPr>
        <w:t>产品开发提议说明</w:t>
      </w:r>
      <w:r>
        <w:tab/>
      </w:r>
      <w:r>
        <w:fldChar w:fldCharType="begin"/>
      </w:r>
      <w:r>
        <w:instrText xml:space="preserve"> PAGEREF _Toc30463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_Toc30304 </w:instrText>
      </w:r>
      <w:r>
        <w:fldChar w:fldCharType="separate"/>
      </w:r>
      <w:r>
        <w:rPr>
          <w:rFonts w:hint="eastAsia" w:ascii="宋体" w:hAnsi="宋体" w:eastAsia="宋体" w:cs="宋体"/>
          <w:lang w:eastAsia="zh-CN"/>
        </w:rPr>
        <w:t xml:space="preserve">第五章 </w:t>
      </w:r>
      <w:r>
        <w:rPr>
          <w:rFonts w:hint="eastAsia"/>
          <w:lang w:val="en-US" w:eastAsia="zh-CN"/>
        </w:rPr>
        <w:t>初始的分析和评估</w:t>
      </w:r>
      <w:r>
        <w:tab/>
      </w:r>
      <w:r>
        <w:fldChar w:fldCharType="begin"/>
      </w:r>
      <w:r>
        <w:instrText xml:space="preserve"> PAGEREF _Toc30304 \h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_Toc22578 </w:instrText>
      </w:r>
      <w:r>
        <w:fldChar w:fldCharType="separate"/>
      </w:r>
      <w:r>
        <w:rPr>
          <w:rFonts w:hint="eastAsia" w:ascii="宋体" w:hAnsi="宋体" w:eastAsia="宋体" w:cs="宋体"/>
          <w:lang w:val="en-US" w:eastAsia="zh-CN"/>
        </w:rPr>
        <w:t xml:space="preserve">5.1 </w:t>
      </w:r>
      <w:r>
        <w:rPr>
          <w:rFonts w:hint="eastAsia"/>
          <w:lang w:val="en-US" w:eastAsia="zh-CN"/>
        </w:rPr>
        <w:t>可用性需求评估</w:t>
      </w:r>
      <w:r>
        <w:tab/>
      </w:r>
      <w:r>
        <w:fldChar w:fldCharType="begin"/>
      </w:r>
      <w:r>
        <w:instrText xml:space="preserve"> PAGEREF _Toc22578 \h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_Toc17294 </w:instrText>
      </w:r>
      <w:r>
        <w:fldChar w:fldCharType="separate"/>
      </w:r>
      <w:r>
        <w:rPr>
          <w:rFonts w:hint="eastAsia" w:ascii="宋体" w:hAnsi="宋体" w:eastAsia="宋体" w:cs="宋体"/>
          <w:lang w:val="en-US" w:eastAsia="zh-CN"/>
        </w:rPr>
        <w:t xml:space="preserve">5.2 </w:t>
      </w:r>
      <w:r>
        <w:rPr>
          <w:rFonts w:hint="eastAsia"/>
          <w:lang w:val="en-US" w:eastAsia="zh-CN"/>
        </w:rPr>
        <w:t>人机界面及功能描述</w:t>
      </w:r>
      <w:r>
        <w:tab/>
      </w:r>
      <w:r>
        <w:fldChar w:fldCharType="begin"/>
      </w:r>
      <w:r>
        <w:instrText xml:space="preserve"> PAGEREF _Toc17294 \h </w:instrText>
      </w:r>
      <w:r>
        <w:fldChar w:fldCharType="separate"/>
      </w:r>
      <w:r>
        <w:t>2</w:t>
      </w:r>
      <w:r>
        <w:fldChar w:fldCharType="end"/>
      </w:r>
      <w:r>
        <w:fldChar w:fldCharType="end"/>
      </w:r>
    </w:p>
    <w:p>
      <w:pPr>
        <w:pStyle w:val="16"/>
        <w:tabs>
          <w:tab w:val="right" w:leader="dot" w:pos="8306"/>
        </w:tabs>
      </w:pPr>
      <w:r>
        <w:fldChar w:fldCharType="begin"/>
      </w:r>
      <w:r>
        <w:instrText xml:space="preserve"> HYPERLINK \l _Toc31986 </w:instrText>
      </w:r>
      <w:r>
        <w:fldChar w:fldCharType="separate"/>
      </w:r>
      <w:r>
        <w:rPr>
          <w:rFonts w:hint="eastAsia" w:ascii="宋体" w:hAnsi="宋体" w:eastAsia="宋体" w:cs="宋体"/>
          <w:lang w:val="en-US" w:eastAsia="zh-CN"/>
        </w:rPr>
        <w:t xml:space="preserve">5.3 </w:t>
      </w:r>
      <w:r>
        <w:rPr>
          <w:rFonts w:hint="eastAsia"/>
          <w:lang w:val="en-US" w:eastAsia="zh-CN"/>
        </w:rPr>
        <w:t>可用性任务分析</w:t>
      </w:r>
      <w:r>
        <w:tab/>
      </w:r>
      <w:r>
        <w:fldChar w:fldCharType="begin"/>
      </w:r>
      <w:r>
        <w:instrText xml:space="preserve"> PAGEREF _Toc31986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_Toc5263 </w:instrText>
      </w:r>
      <w:r>
        <w:fldChar w:fldCharType="separate"/>
      </w:r>
      <w:r>
        <w:rPr>
          <w:rFonts w:hint="eastAsia" w:ascii="宋体" w:hAnsi="宋体" w:eastAsia="宋体" w:cs="宋体"/>
          <w:lang w:val="en-US" w:eastAsia="zh-CN"/>
        </w:rPr>
        <w:t xml:space="preserve">5.4 </w:t>
      </w:r>
      <w:r>
        <w:rPr>
          <w:rFonts w:hint="eastAsia"/>
          <w:lang w:val="en-US" w:eastAsia="zh-CN"/>
        </w:rPr>
        <w:t>与可用性相关的危害和危害处境的识别</w:t>
      </w:r>
      <w:r>
        <w:tab/>
      </w:r>
      <w:r>
        <w:fldChar w:fldCharType="begin"/>
      </w:r>
      <w:r>
        <w:instrText xml:space="preserve"> PAGEREF _Toc5263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_Toc8141 </w:instrText>
      </w:r>
      <w:r>
        <w:fldChar w:fldCharType="separate"/>
      </w:r>
      <w:r>
        <w:rPr>
          <w:rFonts w:hint="eastAsia" w:ascii="宋体" w:hAnsi="宋体" w:eastAsia="宋体" w:cs="宋体"/>
          <w:lang w:val="en-US" w:eastAsia="zh-CN"/>
        </w:rPr>
        <w:t xml:space="preserve">5.5 </w:t>
      </w:r>
      <w:r>
        <w:rPr>
          <w:rFonts w:hint="eastAsia"/>
          <w:lang w:val="en-US" w:eastAsia="zh-CN"/>
        </w:rPr>
        <w:t>基本操作功能</w:t>
      </w:r>
      <w:r>
        <w:tab/>
      </w:r>
      <w:r>
        <w:fldChar w:fldCharType="begin"/>
      </w:r>
      <w:r>
        <w:instrText xml:space="preserve"> PAGEREF _Toc8141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_Toc28544 </w:instrText>
      </w:r>
      <w:r>
        <w:fldChar w:fldCharType="separate"/>
      </w:r>
      <w:r>
        <w:rPr>
          <w:rFonts w:hint="eastAsia" w:ascii="宋体" w:hAnsi="宋体" w:eastAsia="宋体" w:cs="宋体"/>
          <w:bCs/>
          <w:lang w:val="en-US" w:eastAsia="zh-CN"/>
        </w:rPr>
        <w:t xml:space="preserve">5.5.1 </w:t>
      </w:r>
      <w:r>
        <w:rPr>
          <w:rFonts w:hint="eastAsia"/>
          <w:bCs/>
          <w:lang w:val="en-US" w:eastAsia="zh-CN"/>
        </w:rPr>
        <w:t>经常使用的功能</w:t>
      </w:r>
      <w:r>
        <w:tab/>
      </w:r>
      <w:r>
        <w:fldChar w:fldCharType="begin"/>
      </w:r>
      <w:r>
        <w:instrText xml:space="preserve"> PAGEREF _Toc28544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_Toc13583 </w:instrText>
      </w:r>
      <w:r>
        <w:fldChar w:fldCharType="separate"/>
      </w:r>
      <w:r>
        <w:rPr>
          <w:rFonts w:hint="eastAsia" w:ascii="宋体" w:hAnsi="宋体" w:eastAsia="宋体" w:cs="宋体"/>
          <w:bCs/>
          <w:lang w:val="en-US" w:eastAsia="zh-CN"/>
        </w:rPr>
        <w:t xml:space="preserve">5.5.2 </w:t>
      </w:r>
      <w:r>
        <w:rPr>
          <w:rFonts w:hint="eastAsia"/>
          <w:bCs/>
          <w:lang w:val="en-US" w:eastAsia="zh-CN"/>
        </w:rPr>
        <w:t>与安全相关的功能</w:t>
      </w:r>
      <w:r>
        <w:tab/>
      </w:r>
      <w:r>
        <w:fldChar w:fldCharType="begin"/>
      </w:r>
      <w:r>
        <w:instrText xml:space="preserve"> PAGEREF _Toc13583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_Toc27549 </w:instrText>
      </w:r>
      <w:r>
        <w:fldChar w:fldCharType="separate"/>
      </w:r>
      <w:r>
        <w:rPr>
          <w:rFonts w:hint="eastAsia" w:ascii="宋体" w:hAnsi="宋体" w:eastAsia="宋体" w:cs="宋体"/>
          <w:lang w:val="en-US" w:eastAsia="zh-CN"/>
        </w:rPr>
        <w:t xml:space="preserve">第六章 </w:t>
      </w:r>
      <w:r>
        <w:rPr>
          <w:rFonts w:hint="eastAsia"/>
          <w:lang w:val="en-US" w:eastAsia="zh-CN"/>
        </w:rPr>
        <w:t>用户接口规格</w:t>
      </w:r>
      <w:r>
        <w:tab/>
      </w:r>
      <w:r>
        <w:fldChar w:fldCharType="begin"/>
      </w:r>
      <w:r>
        <w:instrText xml:space="preserve"> PAGEREF _Toc27549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_Toc694 </w:instrText>
      </w:r>
      <w:r>
        <w:fldChar w:fldCharType="separate"/>
      </w:r>
      <w:r>
        <w:rPr>
          <w:rFonts w:hint="eastAsia" w:ascii="宋体" w:hAnsi="宋体" w:eastAsia="宋体" w:cs="宋体"/>
          <w:lang w:val="en-US" w:eastAsia="zh-CN"/>
        </w:rPr>
        <w:t xml:space="preserve">6.1 </w:t>
      </w:r>
      <w:r>
        <w:rPr>
          <w:rFonts w:hint="eastAsia"/>
          <w:lang w:val="en-US" w:eastAsia="zh-CN"/>
        </w:rPr>
        <w:t>识别与安全相关的使用场景</w:t>
      </w:r>
      <w:r>
        <w:tab/>
      </w:r>
      <w:r>
        <w:fldChar w:fldCharType="begin"/>
      </w:r>
      <w:r>
        <w:instrText xml:space="preserve"> PAGEREF _Toc694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_Toc23502 </w:instrText>
      </w:r>
      <w:r>
        <w:fldChar w:fldCharType="separate"/>
      </w:r>
      <w:r>
        <w:rPr>
          <w:rFonts w:hint="eastAsia" w:ascii="宋体" w:hAnsi="宋体" w:eastAsia="宋体" w:cs="宋体"/>
          <w:lang w:val="en-US" w:eastAsia="zh-CN"/>
        </w:rPr>
        <w:t xml:space="preserve">6.2 </w:t>
      </w:r>
      <w:r>
        <w:rPr>
          <w:rFonts w:hint="eastAsia"/>
          <w:lang w:val="en-US" w:eastAsia="zh-CN"/>
        </w:rPr>
        <w:t>基本操作功能的用户接口要求</w:t>
      </w:r>
      <w:r>
        <w:tab/>
      </w:r>
      <w:r>
        <w:fldChar w:fldCharType="begin"/>
      </w:r>
      <w:r>
        <w:instrText xml:space="preserve"> PAGEREF _Toc23502 \h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_Toc18762 </w:instrText>
      </w:r>
      <w:r>
        <w:fldChar w:fldCharType="separate"/>
      </w:r>
      <w:r>
        <w:rPr>
          <w:rFonts w:hint="eastAsia" w:ascii="宋体" w:hAnsi="宋体" w:eastAsia="宋体" w:cs="宋体"/>
          <w:lang w:val="en-US" w:eastAsia="zh-CN"/>
        </w:rPr>
        <w:t xml:space="preserve">6.3 </w:t>
      </w:r>
      <w:r>
        <w:rPr>
          <w:rFonts w:hint="eastAsia"/>
          <w:lang w:val="en-US" w:eastAsia="zh-CN"/>
        </w:rPr>
        <w:t>随附文件需求</w:t>
      </w:r>
      <w:r>
        <w:tab/>
      </w:r>
      <w:r>
        <w:fldChar w:fldCharType="begin"/>
      </w:r>
      <w:r>
        <w:instrText xml:space="preserve"> PAGEREF _Toc18762 \h </w:instrText>
      </w:r>
      <w:r>
        <w:fldChar w:fldCharType="separate"/>
      </w:r>
      <w:r>
        <w:t>8</w:t>
      </w:r>
      <w:r>
        <w:fldChar w:fldCharType="end"/>
      </w:r>
      <w:r>
        <w:fldChar w:fldCharType="end"/>
      </w:r>
    </w:p>
    <w:p>
      <w:pPr>
        <w:pStyle w:val="16"/>
        <w:tabs>
          <w:tab w:val="right" w:leader="dot" w:pos="8306"/>
        </w:tabs>
      </w:pPr>
      <w:r>
        <w:fldChar w:fldCharType="begin"/>
      </w:r>
      <w:r>
        <w:instrText xml:space="preserve"> HYPERLINK \l _Toc23229 </w:instrText>
      </w:r>
      <w:r>
        <w:fldChar w:fldCharType="separate"/>
      </w:r>
      <w:r>
        <w:rPr>
          <w:rFonts w:hint="eastAsia" w:ascii="宋体" w:hAnsi="宋体" w:eastAsia="宋体" w:cs="宋体"/>
          <w:lang w:val="en-US" w:eastAsia="zh-CN"/>
        </w:rPr>
        <w:t xml:space="preserve">6.4 </w:t>
      </w:r>
      <w:r>
        <w:rPr>
          <w:rFonts w:hint="eastAsia"/>
          <w:lang w:val="en-US" w:eastAsia="zh-CN"/>
        </w:rPr>
        <w:t>基本操作功能易于被用户认知的需求</w:t>
      </w:r>
      <w:r>
        <w:tab/>
      </w:r>
      <w:r>
        <w:fldChar w:fldCharType="begin"/>
      </w:r>
      <w:r>
        <w:instrText xml:space="preserve"> PAGEREF _Toc23229 \h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_Toc3105 </w:instrText>
      </w:r>
      <w:r>
        <w:fldChar w:fldCharType="separate"/>
      </w:r>
      <w:r>
        <w:rPr>
          <w:rFonts w:hint="eastAsia" w:ascii="宋体" w:hAnsi="宋体" w:eastAsia="宋体" w:cs="宋体"/>
          <w:lang w:eastAsia="zh-CN"/>
        </w:rPr>
        <w:t xml:space="preserve">6.4.1 </w:t>
      </w:r>
      <w:r>
        <w:rPr>
          <w:rFonts w:hint="eastAsia"/>
          <w:lang w:eastAsia="zh-CN"/>
        </w:rPr>
        <w:t>基本操作功能易于被认知的需求</w:t>
      </w:r>
      <w:r>
        <w:tab/>
      </w:r>
      <w:r>
        <w:fldChar w:fldCharType="begin"/>
      </w:r>
      <w:r>
        <w:instrText xml:space="preserve"> PAGEREF _Toc3105 \h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_Toc11371 </w:instrText>
      </w:r>
      <w:r>
        <w:fldChar w:fldCharType="separate"/>
      </w:r>
      <w:r>
        <w:rPr>
          <w:rFonts w:hint="eastAsia" w:ascii="宋体" w:hAnsi="宋体" w:eastAsia="宋体" w:cs="宋体"/>
          <w:lang w:eastAsia="zh-CN"/>
        </w:rPr>
        <w:t xml:space="preserve">6.4.2 </w:t>
      </w:r>
      <w:r>
        <w:rPr>
          <w:rFonts w:hint="eastAsia"/>
          <w:lang w:eastAsia="zh-CN"/>
        </w:rPr>
        <w:t>培训和培训资料的需求</w:t>
      </w:r>
      <w:r>
        <w:tab/>
      </w:r>
      <w:r>
        <w:fldChar w:fldCharType="begin"/>
      </w:r>
      <w:r>
        <w:instrText xml:space="preserve"> PAGEREF _Toc11371 \h </w:instrText>
      </w:r>
      <w:r>
        <w:fldChar w:fldCharType="separate"/>
      </w:r>
      <w:r>
        <w:t>10</w:t>
      </w:r>
      <w:r>
        <w:fldChar w:fldCharType="end"/>
      </w:r>
      <w:r>
        <w:fldChar w:fldCharType="end"/>
      </w:r>
    </w:p>
    <w:p>
      <w:pPr>
        <w:pStyle w:val="3"/>
        <w:tabs>
          <w:tab w:val="right" w:leader="dot" w:pos="8306"/>
        </w:tabs>
      </w:pPr>
      <w:r>
        <w:fldChar w:fldCharType="begin"/>
      </w:r>
      <w:r>
        <w:instrText xml:space="preserve"> HYPERLINK \l _Toc15640 </w:instrText>
      </w:r>
      <w:r>
        <w:fldChar w:fldCharType="separate"/>
      </w:r>
      <w:r>
        <w:rPr>
          <w:rFonts w:hint="eastAsia" w:ascii="宋体" w:hAnsi="宋体" w:eastAsia="宋体" w:cs="宋体"/>
          <w:lang w:val="en-US" w:eastAsia="zh-CN"/>
        </w:rPr>
        <w:t xml:space="preserve">第七章 </w:t>
      </w:r>
      <w:r>
        <w:rPr>
          <w:rFonts w:hint="eastAsia"/>
          <w:lang w:val="en-US" w:eastAsia="zh-CN"/>
        </w:rPr>
        <w:t>可用性评估</w:t>
      </w:r>
      <w:r>
        <w:tab/>
      </w:r>
      <w:r>
        <w:fldChar w:fldCharType="begin"/>
      </w:r>
      <w:r>
        <w:instrText xml:space="preserve"> PAGEREF _Toc15640 \h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_Toc18848 </w:instrText>
      </w:r>
      <w:r>
        <w:fldChar w:fldCharType="separate"/>
      </w:r>
      <w:r>
        <w:rPr>
          <w:rFonts w:hint="eastAsia" w:ascii="宋体" w:hAnsi="宋体" w:eastAsia="宋体" w:cs="宋体"/>
          <w:lang w:val="en-US" w:eastAsia="zh-CN"/>
        </w:rPr>
        <w:t xml:space="preserve">7.1 </w:t>
      </w:r>
      <w:r>
        <w:rPr>
          <w:rFonts w:hint="eastAsia"/>
          <w:lang w:val="en-US" w:eastAsia="zh-CN"/>
        </w:rPr>
        <w:t>可用性验证</w:t>
      </w:r>
      <w:r>
        <w:tab/>
      </w:r>
      <w:r>
        <w:fldChar w:fldCharType="begin"/>
      </w:r>
      <w:r>
        <w:instrText xml:space="preserve"> PAGEREF _Toc18848 \h </w:instrText>
      </w:r>
      <w:r>
        <w:fldChar w:fldCharType="separate"/>
      </w:r>
      <w:r>
        <w:t>11</w:t>
      </w:r>
      <w:r>
        <w:fldChar w:fldCharType="end"/>
      </w:r>
      <w:r>
        <w:fldChar w:fldCharType="end"/>
      </w:r>
    </w:p>
    <w:p>
      <w:pPr>
        <w:pStyle w:val="16"/>
        <w:tabs>
          <w:tab w:val="right" w:leader="dot" w:pos="8306"/>
        </w:tabs>
      </w:pPr>
      <w:r>
        <w:fldChar w:fldCharType="begin"/>
      </w:r>
      <w:r>
        <w:instrText xml:space="preserve"> HYPERLINK \l _Toc28366 </w:instrText>
      </w:r>
      <w:r>
        <w:fldChar w:fldCharType="separate"/>
      </w:r>
      <w:r>
        <w:rPr>
          <w:rFonts w:hint="eastAsia" w:ascii="宋体" w:hAnsi="宋体" w:eastAsia="宋体" w:cs="宋体"/>
          <w:lang w:val="en-US" w:eastAsia="zh-CN"/>
        </w:rPr>
        <w:t xml:space="preserve">7.2 </w:t>
      </w:r>
      <w:r>
        <w:rPr>
          <w:rFonts w:hint="eastAsia"/>
          <w:lang w:val="en-US" w:eastAsia="zh-CN"/>
        </w:rPr>
        <w:t>可用性确认</w:t>
      </w:r>
      <w:r>
        <w:tab/>
      </w:r>
      <w:r>
        <w:fldChar w:fldCharType="begin"/>
      </w:r>
      <w:r>
        <w:instrText xml:space="preserve"> PAGEREF _Toc28366 \h </w:instrText>
      </w:r>
      <w:r>
        <w:fldChar w:fldCharType="separate"/>
      </w:r>
      <w:r>
        <w:t>11</w:t>
      </w:r>
      <w:r>
        <w:fldChar w:fldCharType="end"/>
      </w:r>
      <w:r>
        <w:fldChar w:fldCharType="end"/>
      </w:r>
    </w:p>
    <w:p>
      <w:pPr>
        <w:pStyle w:val="3"/>
        <w:tabs>
          <w:tab w:val="right" w:leader="dot" w:pos="8306"/>
        </w:tabs>
      </w:pPr>
      <w:r>
        <w:fldChar w:fldCharType="begin"/>
      </w:r>
      <w:r>
        <w:instrText xml:space="preserve"> HYPERLINK \l _Toc19369 </w:instrText>
      </w:r>
      <w:r>
        <w:fldChar w:fldCharType="separate"/>
      </w:r>
      <w:r>
        <w:rPr>
          <w:rFonts w:hint="eastAsia" w:ascii="宋体" w:hAnsi="宋体" w:eastAsia="宋体" w:cs="宋体"/>
          <w:lang w:val="en-US" w:eastAsia="zh-CN"/>
        </w:rPr>
        <w:t xml:space="preserve">第八章 </w:t>
      </w:r>
      <w:r>
        <w:rPr>
          <w:rFonts w:hint="eastAsia"/>
          <w:lang w:val="en-US" w:eastAsia="zh-CN"/>
        </w:rPr>
        <w:t>结论</w:t>
      </w:r>
      <w:r>
        <w:tab/>
      </w:r>
      <w:r>
        <w:fldChar w:fldCharType="begin"/>
      </w:r>
      <w:r>
        <w:instrText xml:space="preserve"> PAGEREF _Toc19369 \h </w:instrText>
      </w:r>
      <w:r>
        <w:fldChar w:fldCharType="separate"/>
      </w:r>
      <w:r>
        <w:t>12</w:t>
      </w:r>
      <w:r>
        <w:fldChar w:fldCharType="end"/>
      </w:r>
      <w:r>
        <w:fldChar w:fldCharType="end"/>
      </w:r>
    </w:p>
    <w:p>
      <w:pPr>
        <w:sectPr>
          <w:headerReference r:id="rId5" w:type="default"/>
          <w:footerReference r:id="rId6" w:type="default"/>
          <w:pgSz w:w="11906" w:h="16838"/>
          <w:pgMar w:top="1417" w:right="1800" w:bottom="850" w:left="1800" w:header="851" w:footer="283" w:gutter="0"/>
          <w:pgNumType w:fmt="decimal" w:start="1"/>
          <w:cols w:space="0" w:num="1"/>
          <w:rtlGutter w:val="0"/>
          <w:docGrid w:type="lines" w:linePitch="380" w:charSpace="0"/>
        </w:sectPr>
      </w:pPr>
      <w:r>
        <w:fldChar w:fldCharType="end"/>
      </w:r>
    </w:p>
    <w:p>
      <w:pPr>
        <w:pStyle w:val="2"/>
        <w:bidi w:val="0"/>
        <w:jc w:val="both"/>
        <w:rPr>
          <w:rFonts w:hint="eastAsia"/>
          <w:lang w:eastAsia="zh-CN"/>
        </w:rPr>
      </w:pPr>
      <w:bookmarkStart w:id="0" w:name="_Toc16606"/>
      <w:bookmarkStart w:id="1" w:name="_Toc25037"/>
      <w:r>
        <w:rPr>
          <w:rFonts w:hint="eastAsia"/>
          <w:lang w:eastAsia="zh-CN"/>
        </w:rPr>
        <w:t>引言</w:t>
      </w:r>
      <w:bookmarkEnd w:id="0"/>
      <w:bookmarkEnd w:id="1"/>
    </w:p>
    <w:p>
      <w:pPr>
        <w:pStyle w:val="4"/>
        <w:bidi w:val="0"/>
        <w:ind w:left="575" w:leftChars="0" w:hanging="575" w:firstLineChars="0"/>
        <w:rPr>
          <w:rFonts w:hint="eastAsia"/>
          <w:lang w:eastAsia="zh-CN"/>
        </w:rPr>
      </w:pPr>
      <w:bookmarkStart w:id="2" w:name="_Toc11400"/>
      <w:bookmarkStart w:id="3" w:name="_Toc20896"/>
      <w:r>
        <w:rPr>
          <w:rFonts w:hint="eastAsia"/>
          <w:lang w:eastAsia="zh-CN"/>
        </w:rPr>
        <w:t>编写目的</w:t>
      </w:r>
      <w:bookmarkEnd w:id="2"/>
      <w:bookmarkEnd w:id="3"/>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依照可用性工程对医疗器械的应用，编写MS-001可用性分析报告，用于记录可用性工程过程，提供可用性相关信息。</w:t>
      </w:r>
    </w:p>
    <w:p>
      <w:pPr>
        <w:pStyle w:val="4"/>
        <w:bidi w:val="0"/>
        <w:rPr>
          <w:rFonts w:hint="eastAsia"/>
          <w:lang w:eastAsia="zh-CN"/>
        </w:rPr>
      </w:pPr>
      <w:bookmarkStart w:id="4" w:name="_Toc14743"/>
      <w:bookmarkStart w:id="5" w:name="_Toc11715"/>
      <w:r>
        <w:rPr>
          <w:rFonts w:hint="eastAsia"/>
          <w:lang w:eastAsia="zh-CN"/>
        </w:rPr>
        <w:t>适用范围</w:t>
      </w:r>
      <w:bookmarkEnd w:id="4"/>
      <w:bookmarkEnd w:id="5"/>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适用于MS-001 可用性分析。</w:t>
      </w:r>
    </w:p>
    <w:p>
      <w:pPr>
        <w:pStyle w:val="2"/>
        <w:bidi w:val="0"/>
        <w:jc w:val="both"/>
        <w:rPr>
          <w:rFonts w:hint="default"/>
          <w:lang w:val="en-US" w:eastAsia="zh-CN"/>
        </w:rPr>
      </w:pPr>
      <w:bookmarkStart w:id="6" w:name="_Toc7672"/>
      <w:bookmarkStart w:id="7" w:name="_Toc5685"/>
      <w:r>
        <w:rPr>
          <w:rFonts w:hint="eastAsia"/>
          <w:lang w:val="en-US" w:eastAsia="zh-CN"/>
        </w:rPr>
        <w:t>引用</w:t>
      </w:r>
      <w:bookmarkEnd w:id="6"/>
      <w:bookmarkEnd w:id="7"/>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
        <w:gridCol w:w="2338"/>
        <w:gridCol w:w="5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tcPr>
          <w:p>
            <w:pPr>
              <w:bidi w:val="0"/>
              <w:jc w:val="center"/>
              <w:rPr>
                <w:rFonts w:hint="default" w:ascii="Times New Roman" w:hAnsi="Times New Roman" w:eastAsia="宋体" w:cs="Times New Roman"/>
                <w:b/>
                <w:bCs/>
                <w:i w:val="0"/>
                <w:iCs w:val="0"/>
                <w:sz w:val="24"/>
                <w:szCs w:val="24"/>
                <w:lang w:val="en-US" w:eastAsia="zh-CN"/>
              </w:rPr>
            </w:pPr>
            <w:r>
              <w:rPr>
                <w:rFonts w:hint="default" w:ascii="Times New Roman" w:hAnsi="Times New Roman" w:eastAsia="宋体" w:cs="Times New Roman"/>
                <w:b/>
                <w:bCs/>
                <w:i w:val="0"/>
                <w:iCs w:val="0"/>
                <w:sz w:val="24"/>
                <w:szCs w:val="24"/>
                <w:lang w:val="en-US" w:eastAsia="zh-CN"/>
              </w:rPr>
              <w:t>序号</w:t>
            </w:r>
          </w:p>
        </w:tc>
        <w:tc>
          <w:tcPr>
            <w:tcW w:w="2338" w:type="dxa"/>
            <w:vAlign w:val="center"/>
          </w:tcPr>
          <w:p>
            <w:pPr>
              <w:bidi w:val="0"/>
              <w:jc w:val="center"/>
              <w:rPr>
                <w:rFonts w:hint="default" w:ascii="Times New Roman" w:hAnsi="Times New Roman" w:eastAsia="宋体" w:cs="Times New Roman"/>
                <w:b/>
                <w:bCs/>
                <w:i w:val="0"/>
                <w:iCs w:val="0"/>
                <w:sz w:val="24"/>
                <w:szCs w:val="24"/>
                <w:lang w:val="en-US" w:eastAsia="zh-CN"/>
              </w:rPr>
            </w:pPr>
            <w:r>
              <w:rPr>
                <w:rFonts w:hint="default" w:ascii="Times New Roman" w:hAnsi="Times New Roman" w:eastAsia="宋体" w:cs="Times New Roman"/>
                <w:b/>
                <w:bCs/>
                <w:i w:val="0"/>
                <w:iCs w:val="0"/>
                <w:sz w:val="24"/>
                <w:szCs w:val="24"/>
                <w:lang w:val="en-US" w:eastAsia="zh-CN"/>
              </w:rPr>
              <w:t>标准</w:t>
            </w:r>
          </w:p>
        </w:tc>
        <w:tc>
          <w:tcPr>
            <w:tcW w:w="5292" w:type="dxa"/>
          </w:tcPr>
          <w:p>
            <w:pPr>
              <w:bidi w:val="0"/>
              <w:rPr>
                <w:rFonts w:hint="default" w:ascii="Times New Roman" w:hAnsi="Times New Roman" w:eastAsia="宋体" w:cs="Times New Roman"/>
                <w:b/>
                <w:bCs/>
                <w:i w:val="0"/>
                <w:iCs w:val="0"/>
                <w:sz w:val="24"/>
                <w:szCs w:val="24"/>
                <w:lang w:val="en-US" w:eastAsia="zh-CN"/>
              </w:rPr>
            </w:pPr>
            <w:r>
              <w:rPr>
                <w:rFonts w:hint="default" w:ascii="Times New Roman" w:hAnsi="Times New Roman" w:eastAsia="宋体" w:cs="Times New Roman"/>
                <w:b/>
                <w:bCs/>
                <w:i w:val="0"/>
                <w:iCs w:val="0"/>
                <w:sz w:val="24"/>
                <w:szCs w:val="24"/>
                <w:lang w:val="en-US" w:eastAsia="zh-CN"/>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2" w:type="dxa"/>
            <w:vAlign w:val="center"/>
          </w:tcPr>
          <w:p>
            <w:pPr>
              <w:bidi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w:t>
            </w:r>
          </w:p>
        </w:tc>
        <w:tc>
          <w:tcPr>
            <w:tcW w:w="2338" w:type="dxa"/>
            <w:vAlign w:val="center"/>
          </w:tcPr>
          <w:p>
            <w:pPr>
              <w:bidi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YY/T 1474-2016</w:t>
            </w:r>
          </w:p>
        </w:tc>
        <w:tc>
          <w:tcPr>
            <w:tcW w:w="5292" w:type="dxa"/>
          </w:tcPr>
          <w:p>
            <w:pPr>
              <w:bidi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《医疗器械 可用性工程对医疗器械的应用》</w:t>
            </w:r>
          </w:p>
        </w:tc>
      </w:tr>
    </w:tbl>
    <w:p>
      <w:pPr>
        <w:pStyle w:val="2"/>
        <w:bidi w:val="0"/>
        <w:rPr>
          <w:rFonts w:hint="eastAsia"/>
          <w:lang w:eastAsia="zh-CN"/>
        </w:rPr>
      </w:pPr>
      <w:bookmarkStart w:id="8" w:name="_Toc26926"/>
      <w:bookmarkStart w:id="9" w:name="_Toc22825"/>
      <w:r>
        <w:rPr>
          <w:rFonts w:hint="eastAsia"/>
          <w:lang w:val="en-US" w:eastAsia="zh-CN"/>
        </w:rPr>
        <w:t>术语和定义</w:t>
      </w:r>
      <w:bookmarkEnd w:id="8"/>
      <w:bookmarkEnd w:id="9"/>
    </w:p>
    <w:p>
      <w:pPr>
        <w:ind w:firstLine="420"/>
        <w:rPr>
          <w:rFonts w:hint="eastAsia"/>
          <w:sz w:val="24"/>
          <w:szCs w:val="24"/>
          <w:lang w:eastAsia="zh-CN"/>
        </w:rPr>
      </w:pPr>
      <w:r>
        <w:rPr>
          <w:rFonts w:hint="eastAsia"/>
          <w:sz w:val="24"/>
          <w:szCs w:val="24"/>
          <w:lang w:val="en-US" w:eastAsia="zh-CN"/>
        </w:rPr>
        <w:t>无</w:t>
      </w:r>
    </w:p>
    <w:p>
      <w:pPr>
        <w:pStyle w:val="2"/>
        <w:bidi w:val="0"/>
        <w:rPr>
          <w:rFonts w:hint="eastAsia"/>
          <w:lang w:eastAsia="zh-CN"/>
        </w:rPr>
      </w:pPr>
      <w:bookmarkStart w:id="10" w:name="_Toc6484"/>
      <w:bookmarkStart w:id="11" w:name="_Toc30463"/>
      <w:r>
        <w:rPr>
          <w:rFonts w:hint="eastAsia"/>
          <w:lang w:val="en-US" w:eastAsia="zh-CN"/>
        </w:rPr>
        <w:t>产品开发提议说明</w:t>
      </w:r>
      <w:bookmarkEnd w:id="10"/>
      <w:bookmarkEnd w:id="11"/>
    </w:p>
    <w:p>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本产品的具体的原始需求定义详见MS-001的用户需求。</w:t>
      </w:r>
    </w:p>
    <w:p>
      <w:pPr>
        <w:rPr>
          <w:rFonts w:hint="eastAsia"/>
          <w:lang w:eastAsia="zh-CN"/>
        </w:rPr>
      </w:pPr>
      <w:r>
        <w:rPr>
          <w:rFonts w:hint="eastAsia"/>
          <w:lang w:val="en-US" w:eastAsia="zh-CN"/>
        </w:rPr>
        <w:br w:type="page"/>
      </w:r>
    </w:p>
    <w:p>
      <w:pPr>
        <w:pStyle w:val="2"/>
        <w:bidi w:val="0"/>
        <w:rPr>
          <w:rFonts w:hint="eastAsia"/>
          <w:lang w:eastAsia="zh-CN"/>
        </w:rPr>
      </w:pPr>
      <w:bookmarkStart w:id="12" w:name="_Toc30304"/>
      <w:bookmarkStart w:id="13" w:name="_Toc17264"/>
      <w:r>
        <w:rPr>
          <w:rFonts w:hint="eastAsia"/>
          <w:lang w:val="en-US" w:eastAsia="zh-CN"/>
        </w:rPr>
        <w:t>初始的分析和评估</w:t>
      </w:r>
      <w:bookmarkEnd w:id="12"/>
      <w:bookmarkEnd w:id="13"/>
    </w:p>
    <w:p>
      <w:pPr>
        <w:pStyle w:val="4"/>
        <w:bidi w:val="0"/>
        <w:ind w:left="575" w:leftChars="0" w:hanging="575" w:firstLineChars="0"/>
        <w:rPr>
          <w:rFonts w:hint="eastAsia"/>
          <w:lang w:val="en-US" w:eastAsia="zh-CN"/>
        </w:rPr>
      </w:pPr>
      <w:bookmarkStart w:id="14" w:name="_Toc13360"/>
      <w:bookmarkStart w:id="15" w:name="_Toc22578"/>
      <w:r>
        <w:rPr>
          <w:rFonts w:hint="eastAsia"/>
          <w:lang w:val="en-US" w:eastAsia="zh-CN"/>
        </w:rPr>
        <w:t>可用性需求评估</w:t>
      </w:r>
      <w:bookmarkEnd w:id="14"/>
      <w:bookmarkEnd w:id="15"/>
    </w:p>
    <w:p>
      <w:pPr>
        <w:bidi w:val="0"/>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本产品应在用户需求确定后进行可用性需求评估，具体过程如下：</w:t>
      </w:r>
    </w:p>
    <w:p>
      <w:pPr>
        <w:numPr>
          <w:ilvl w:val="1"/>
          <w:numId w:val="2"/>
        </w:numPr>
        <w:bidi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识别用户需求中与可用性相关的用户需求（以下简称可用性需求）；</w:t>
      </w:r>
    </w:p>
    <w:p>
      <w:pPr>
        <w:numPr>
          <w:ilvl w:val="1"/>
          <w:numId w:val="2"/>
        </w:numPr>
        <w:bidi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对可用性需求进行分析，评估其是否存在用户误用的可能性（可参考同类产品的信息）；</w:t>
      </w:r>
    </w:p>
    <w:p>
      <w:pPr>
        <w:numPr>
          <w:ilvl w:val="1"/>
          <w:numId w:val="2"/>
        </w:numPr>
        <w:bidi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对于存在用户误用可能的可用性需求，判断是否需要进行任务分析；</w:t>
      </w:r>
    </w:p>
    <w:p>
      <w:pPr>
        <w:numPr>
          <w:ilvl w:val="1"/>
          <w:numId w:val="2"/>
        </w:numPr>
        <w:bidi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以上过程应形成可用性需求评估文档；</w:t>
      </w:r>
    </w:p>
    <w:p>
      <w:pPr>
        <w:numPr>
          <w:ilvl w:val="1"/>
          <w:numId w:val="2"/>
        </w:numPr>
        <w:bidi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可用性需求评估文档已完成，见《MS-001可用性需求评估》。</w:t>
      </w:r>
    </w:p>
    <w:p>
      <w:pPr>
        <w:pStyle w:val="4"/>
        <w:bidi w:val="0"/>
        <w:ind w:left="575" w:leftChars="0" w:hanging="575" w:firstLineChars="0"/>
        <w:rPr>
          <w:rFonts w:hint="eastAsia"/>
          <w:lang w:val="en-US" w:eastAsia="zh-CN"/>
        </w:rPr>
      </w:pPr>
      <w:bookmarkStart w:id="16" w:name="_Toc18407"/>
      <w:bookmarkStart w:id="17" w:name="_Toc17294"/>
      <w:r>
        <w:rPr>
          <w:rFonts w:hint="eastAsia"/>
          <w:lang w:val="en-US" w:eastAsia="zh-CN"/>
        </w:rPr>
        <w:t>人机界面及功能描述</w:t>
      </w:r>
      <w:bookmarkEnd w:id="16"/>
      <w:bookmarkEnd w:id="17"/>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通过可用性需求评估，识别出初始的人机界面，包含软件界面、硬件界面和操作界面等，如下：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1"/>
        <w:gridCol w:w="5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jc w:val="center"/>
              <w:rPr>
                <w:rFonts w:hint="default"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人机界面</w:t>
            </w:r>
          </w:p>
        </w:tc>
        <w:tc>
          <w:tcPr>
            <w:tcW w:w="5941" w:type="dxa"/>
          </w:tcPr>
          <w:p>
            <w:pPr>
              <w:jc w:val="center"/>
              <w:rPr>
                <w:rFonts w:hint="default"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规划模块操作面板</w:t>
            </w:r>
          </w:p>
        </w:tc>
        <w:tc>
          <w:tcPr>
            <w:tcW w:w="5941"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可以进行规划模块的开关机操作，上电灯提示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规划软件界面</w:t>
            </w:r>
          </w:p>
        </w:tc>
        <w:tc>
          <w:tcPr>
            <w:tcW w:w="5941"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用于用户登录，权限管理，患者数据管理，手术重建、分割、复位、规划，术前术中配准及定位数据发送等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导引模块操作面板</w:t>
            </w:r>
          </w:p>
        </w:tc>
        <w:tc>
          <w:tcPr>
            <w:tcW w:w="5941"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可以进行导引模块的开关机操作，上电提示，用于机械臂的上下电操作。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导引软件界面</w:t>
            </w:r>
          </w:p>
        </w:tc>
        <w:tc>
          <w:tcPr>
            <w:tcW w:w="5941"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color w:val="auto"/>
                <w:sz w:val="24"/>
                <w:szCs w:val="24"/>
                <w:vertAlign w:val="baseline"/>
                <w:lang w:val="en-US" w:eastAsia="zh-CN"/>
              </w:rPr>
              <w:t>用于用户登录，权限管理，手眼标定、定位运动仿真及定位导引控制等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color w:val="auto"/>
                <w:sz w:val="24"/>
                <w:szCs w:val="24"/>
                <w:vertAlign w:val="baseline"/>
                <w:lang w:val="en-US" w:eastAsia="zh-CN"/>
              </w:rPr>
              <w:t>体位反馈模块</w:t>
            </w:r>
            <w:r>
              <w:rPr>
                <w:rFonts w:hint="default" w:ascii="Times New Roman" w:hAnsi="Times New Roman" w:eastAsia="宋体" w:cs="Times New Roman"/>
                <w:sz w:val="24"/>
                <w:szCs w:val="24"/>
                <w:vertAlign w:val="baseline"/>
                <w:lang w:val="en-US" w:eastAsia="zh-CN"/>
              </w:rPr>
              <w:t>的硬件连接接口</w:t>
            </w:r>
          </w:p>
        </w:tc>
        <w:tc>
          <w:tcPr>
            <w:tcW w:w="5941"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用于连接体位反馈模块与导引台车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工具套筒的安装接口</w:t>
            </w:r>
          </w:p>
        </w:tc>
        <w:tc>
          <w:tcPr>
            <w:tcW w:w="5941"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用于工具套筒的安装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配准板的安装接口</w:t>
            </w:r>
          </w:p>
        </w:tc>
        <w:tc>
          <w:tcPr>
            <w:tcW w:w="5941"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用于配准板的安装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定位器的安装接口</w:t>
            </w:r>
          </w:p>
        </w:tc>
        <w:tc>
          <w:tcPr>
            <w:tcW w:w="5941"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用于定位器的安装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USB接口</w:t>
            </w:r>
          </w:p>
        </w:tc>
        <w:tc>
          <w:tcPr>
            <w:tcW w:w="5941"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用于USB数据传输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网络接口</w:t>
            </w:r>
          </w:p>
        </w:tc>
        <w:tc>
          <w:tcPr>
            <w:tcW w:w="5941"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用于网络数据传输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脚踏接口</w:t>
            </w:r>
          </w:p>
        </w:tc>
        <w:tc>
          <w:tcPr>
            <w:tcW w:w="5941"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用于连接运动控制脚踏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1"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遥控器接口</w:t>
            </w:r>
          </w:p>
        </w:tc>
        <w:tc>
          <w:tcPr>
            <w:tcW w:w="5941" w:type="dxa"/>
          </w:tcPr>
          <w:p>
            <w:p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用于连接控制机械臂升降的遥控器</w:t>
            </w:r>
          </w:p>
        </w:tc>
      </w:tr>
    </w:tbl>
    <w:p>
      <w:pPr>
        <w:pStyle w:val="4"/>
        <w:bidi w:val="0"/>
        <w:ind w:left="575" w:leftChars="0" w:hanging="575" w:firstLineChars="0"/>
        <w:rPr>
          <w:rFonts w:hint="eastAsia"/>
          <w:lang w:val="en-US" w:eastAsia="zh-CN"/>
        </w:rPr>
      </w:pPr>
      <w:bookmarkStart w:id="18" w:name="_Toc334"/>
      <w:bookmarkStart w:id="19" w:name="_Toc31986"/>
      <w:r>
        <w:rPr>
          <w:rFonts w:hint="eastAsia"/>
          <w:lang w:val="en-US" w:eastAsia="zh-CN"/>
        </w:rPr>
        <w:t>可用性任务分析</w:t>
      </w:r>
      <w:bookmarkEnd w:id="18"/>
      <w:bookmarkEnd w:id="19"/>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完成可用性需求评估之后，项目组对存在用户误用可能的可用性需求进行任务分析，具体过程和方法如下：</w:t>
      </w:r>
    </w:p>
    <w:p>
      <w:pPr>
        <w:numPr>
          <w:ilvl w:val="1"/>
          <w:numId w:val="3"/>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根据可用性需求的使用情景，罗列出完整的操作步骤；</w:t>
      </w:r>
    </w:p>
    <w:p>
      <w:pPr>
        <w:numPr>
          <w:ilvl w:val="1"/>
          <w:numId w:val="3"/>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对每一操作步骤仔细分析用户误用的概率，并识别出误用的具体情况；</w:t>
      </w:r>
    </w:p>
    <w:p>
      <w:pPr>
        <w:numPr>
          <w:ilvl w:val="1"/>
          <w:numId w:val="3"/>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同时，对每一个具体的误用情况应进行评估，分析这些误用是否会造成危害以及危害的类型，会造成危害的要作为风险管理的输入；</w:t>
      </w:r>
    </w:p>
    <w:p>
      <w:pPr>
        <w:numPr>
          <w:ilvl w:val="1"/>
          <w:numId w:val="3"/>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以上过程应形成可用性任务分析文档；</w:t>
      </w:r>
    </w:p>
    <w:p>
      <w:pPr>
        <w:numPr>
          <w:ilvl w:val="1"/>
          <w:numId w:val="3"/>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可用性任务分析文档已完成，见《MS-001可用性任务分析》。</w:t>
      </w:r>
    </w:p>
    <w:p>
      <w:pPr>
        <w:pStyle w:val="4"/>
        <w:bidi w:val="0"/>
        <w:ind w:left="575" w:leftChars="0" w:hanging="575" w:firstLineChars="0"/>
        <w:rPr>
          <w:rFonts w:hint="eastAsia"/>
          <w:lang w:val="en-US" w:eastAsia="zh-CN"/>
        </w:rPr>
      </w:pPr>
      <w:bookmarkStart w:id="20" w:name="_Toc17448"/>
      <w:bookmarkStart w:id="21" w:name="_Toc5263"/>
      <w:r>
        <w:rPr>
          <w:rFonts w:hint="eastAsia"/>
          <w:lang w:val="en-US" w:eastAsia="zh-CN"/>
        </w:rPr>
        <w:t>与可用性相关的危害和危害处境的识别</w:t>
      </w:r>
      <w:bookmarkEnd w:id="20"/>
      <w:bookmarkEnd w:id="21"/>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本产品与可用性相关的危害和危害处境的识别见本产品的风险管理文件。</w:t>
      </w:r>
    </w:p>
    <w:p>
      <w:pPr>
        <w:pStyle w:val="4"/>
        <w:bidi w:val="0"/>
        <w:ind w:left="575" w:leftChars="0" w:hanging="575" w:firstLineChars="0"/>
        <w:rPr>
          <w:rFonts w:hint="eastAsia"/>
          <w:lang w:val="en-US" w:eastAsia="zh-CN"/>
        </w:rPr>
      </w:pPr>
      <w:bookmarkStart w:id="22" w:name="_Toc8141"/>
      <w:bookmarkStart w:id="23" w:name="_Toc2144"/>
      <w:r>
        <w:rPr>
          <w:rFonts w:hint="eastAsia"/>
          <w:lang w:val="en-US" w:eastAsia="zh-CN"/>
        </w:rPr>
        <w:t>基本操作功能</w:t>
      </w:r>
      <w:bookmarkEnd w:id="22"/>
      <w:bookmarkEnd w:id="23"/>
    </w:p>
    <w:p>
      <w:pPr>
        <w:pStyle w:val="5"/>
        <w:bidi w:val="0"/>
        <w:ind w:left="833" w:leftChars="0" w:hanging="833" w:firstLineChars="0"/>
        <w:rPr>
          <w:rFonts w:hint="default" w:ascii="Times New Roman" w:hAnsi="Times New Roman" w:eastAsia="宋体" w:cs="Times New Roman"/>
          <w:b w:val="0"/>
          <w:bCs/>
          <w:sz w:val="24"/>
          <w:szCs w:val="24"/>
          <w:lang w:val="en-US" w:eastAsia="zh-CN"/>
        </w:rPr>
      </w:pPr>
      <w:bookmarkStart w:id="24" w:name="_Toc18322"/>
      <w:bookmarkStart w:id="25" w:name="_Toc28544"/>
      <w:r>
        <w:rPr>
          <w:rFonts w:hint="default" w:ascii="Times New Roman" w:hAnsi="Times New Roman" w:eastAsia="宋体" w:cs="Times New Roman"/>
          <w:b w:val="0"/>
          <w:bCs/>
          <w:sz w:val="24"/>
          <w:szCs w:val="24"/>
          <w:lang w:val="en-US" w:eastAsia="zh-CN"/>
        </w:rPr>
        <w:t>经常使用的功能</w:t>
      </w:r>
      <w:bookmarkEnd w:id="24"/>
      <w:bookmarkEnd w:id="25"/>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通过可用性需求评估识别出如下经常使用的功能：</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现场安装调试</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手术规划</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术中导引</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术中监测</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基于配准板的手眼标定和图像配准</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遥控器控制通道升降</w:t>
      </w:r>
    </w:p>
    <w:p>
      <w:pPr>
        <w:numPr>
          <w:ilvl w:val="1"/>
          <w:numId w:val="4"/>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工具灭菌</w:t>
      </w:r>
    </w:p>
    <w:p>
      <w:pPr>
        <w:pStyle w:val="5"/>
        <w:bidi w:val="0"/>
        <w:ind w:left="833" w:leftChars="0" w:hanging="833" w:firstLineChars="0"/>
        <w:rPr>
          <w:rFonts w:hint="default" w:ascii="Times New Roman" w:hAnsi="Times New Roman" w:eastAsia="宋体" w:cs="Times New Roman"/>
          <w:b w:val="0"/>
          <w:bCs/>
          <w:sz w:val="24"/>
          <w:szCs w:val="24"/>
          <w:lang w:val="en-US" w:eastAsia="zh-CN"/>
        </w:rPr>
      </w:pPr>
      <w:bookmarkStart w:id="26" w:name="_Toc4058"/>
      <w:bookmarkStart w:id="27" w:name="_Toc13583"/>
      <w:r>
        <w:rPr>
          <w:rFonts w:hint="default" w:ascii="Times New Roman" w:hAnsi="Times New Roman" w:eastAsia="宋体" w:cs="Times New Roman"/>
          <w:b w:val="0"/>
          <w:bCs/>
          <w:sz w:val="24"/>
          <w:szCs w:val="24"/>
          <w:lang w:val="en-US" w:eastAsia="zh-CN"/>
        </w:rPr>
        <w:t>与安全相关的功能</w:t>
      </w:r>
      <w:bookmarkEnd w:id="26"/>
      <w:bookmarkEnd w:id="27"/>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根据可用性任务分析及风险评定与控制的结果识别出与安全相关的功能如下：</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手术规划中的CT分区功能（Task19）</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手术规划中的X光分区功能（Task27）</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遥控器通道升降功能（Task32）</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用户沿通道置针（Task33，Task43）</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工具包器械清洗、干燥（Task45）</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工具包器械低温等离子灭菌（Task46）</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工具包器械的安装掉落（Task49）</w:t>
      </w:r>
    </w:p>
    <w:p>
      <w:pPr>
        <w:numPr>
          <w:ilvl w:val="1"/>
          <w:numId w:val="5"/>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导引软件中的目标工具选择（Task50）</w:t>
      </w:r>
    </w:p>
    <w:p>
      <w:pPr>
        <w:rPr>
          <w:rFonts w:hint="default" w:ascii="Times New Roman" w:hAnsi="Times New Roman" w:eastAsia="宋体" w:cs="Times New Roman"/>
          <w:sz w:val="24"/>
          <w:szCs w:val="24"/>
          <w:lang w:val="en-US" w:eastAsia="zh-CN"/>
        </w:rPr>
      </w:pPr>
    </w:p>
    <w:p>
      <w:pPr>
        <w:rPr>
          <w:rFonts w:hint="default"/>
          <w:lang w:val="en-US" w:eastAsia="zh-CN"/>
        </w:rPr>
      </w:pPr>
      <w:r>
        <w:rPr>
          <w:rFonts w:hint="eastAsia"/>
          <w:lang w:val="en-US" w:eastAsia="zh-CN"/>
        </w:rPr>
        <w:br w:type="page"/>
      </w:r>
    </w:p>
    <w:p>
      <w:pPr>
        <w:pStyle w:val="2"/>
        <w:bidi w:val="0"/>
        <w:rPr>
          <w:rFonts w:hint="default"/>
          <w:lang w:val="en-US" w:eastAsia="zh-CN"/>
        </w:rPr>
      </w:pPr>
      <w:bookmarkStart w:id="28" w:name="_Toc27549"/>
      <w:bookmarkStart w:id="29" w:name="_Toc26906"/>
      <w:r>
        <w:rPr>
          <w:rFonts w:hint="eastAsia"/>
          <w:lang w:val="en-US" w:eastAsia="zh-CN"/>
        </w:rPr>
        <w:t>用户接口规格</w:t>
      </w:r>
      <w:bookmarkEnd w:id="28"/>
      <w:bookmarkEnd w:id="29"/>
    </w:p>
    <w:p>
      <w:pPr>
        <w:pStyle w:val="4"/>
        <w:bidi w:val="0"/>
        <w:ind w:left="575" w:leftChars="0" w:hanging="575" w:firstLineChars="0"/>
        <w:rPr>
          <w:rFonts w:hint="eastAsia"/>
          <w:lang w:val="en-US" w:eastAsia="zh-CN"/>
        </w:rPr>
      </w:pPr>
      <w:bookmarkStart w:id="30" w:name="_Toc15362"/>
      <w:bookmarkStart w:id="31" w:name="_Toc694"/>
      <w:r>
        <w:rPr>
          <w:rFonts w:hint="eastAsia"/>
          <w:lang w:val="en-US" w:eastAsia="zh-CN"/>
        </w:rPr>
        <w:t>识别与安全相关的使用场景</w:t>
      </w:r>
      <w:bookmarkEnd w:id="30"/>
      <w:bookmarkEnd w:id="31"/>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根据5.5.2的内容结合任务分析的结果，识别与安全相关的使用场景如下：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
        <w:gridCol w:w="1825"/>
        <w:gridCol w:w="1238"/>
        <w:gridCol w:w="4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tcPr>
          <w:p>
            <w:pPr>
              <w:spacing w:line="240" w:lineRule="auto"/>
              <w:jc w:val="center"/>
              <w:rPr>
                <w:rFonts w:hint="default"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序号</w:t>
            </w:r>
          </w:p>
        </w:tc>
        <w:tc>
          <w:tcPr>
            <w:tcW w:w="1825" w:type="dxa"/>
          </w:tcPr>
          <w:p>
            <w:pPr>
              <w:spacing w:line="240" w:lineRule="auto"/>
              <w:jc w:val="center"/>
              <w:rPr>
                <w:rFonts w:hint="default"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使用场景</w:t>
            </w:r>
          </w:p>
        </w:tc>
        <w:tc>
          <w:tcPr>
            <w:tcW w:w="1238" w:type="dxa"/>
          </w:tcPr>
          <w:p>
            <w:pPr>
              <w:spacing w:line="240" w:lineRule="auto"/>
              <w:jc w:val="center"/>
              <w:rPr>
                <w:rFonts w:hint="default"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任务ID</w:t>
            </w:r>
          </w:p>
        </w:tc>
        <w:tc>
          <w:tcPr>
            <w:tcW w:w="4617" w:type="dxa"/>
          </w:tcPr>
          <w:p>
            <w:pPr>
              <w:spacing w:line="240" w:lineRule="auto"/>
              <w:jc w:val="center"/>
              <w:rPr>
                <w:rFonts w:hint="default"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842" w:type="dxa"/>
            <w:vMerge w:val="restart"/>
            <w:vAlign w:val="center"/>
          </w:tcPr>
          <w:p>
            <w:pPr>
              <w:spacing w:line="240" w:lineRule="auto"/>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w:t>
            </w:r>
          </w:p>
        </w:tc>
        <w:tc>
          <w:tcPr>
            <w:tcW w:w="1825" w:type="dxa"/>
            <w:vMerge w:val="restart"/>
            <w:vAlign w:val="center"/>
          </w:tcPr>
          <w:p>
            <w:pPr>
              <w:spacing w:line="240" w:lineRule="auto"/>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术中手术规划、定位导引及实时体位监测</w:t>
            </w:r>
          </w:p>
        </w:tc>
        <w:tc>
          <w:tcPr>
            <w:tcW w:w="1238"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Task19</w:t>
            </w:r>
          </w:p>
        </w:tc>
        <w:tc>
          <w:tcPr>
            <w:tcW w:w="4617" w:type="dxa"/>
            <w:vAlign w:val="center"/>
          </w:tcPr>
          <w:p>
            <w:pPr>
              <w:keepNext w:val="0"/>
              <w:keepLines w:val="0"/>
              <w:pageBreakBefore w:val="0"/>
              <w:widowControl w:val="0"/>
              <w:tabs>
                <w:tab w:val="left" w:pos="1267"/>
              </w:tabs>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按提示进行CT分区，完成后点击下一步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vMerge w:val="continue"/>
          </w:tcPr>
          <w:p>
            <w:pPr>
              <w:spacing w:line="240" w:lineRule="auto"/>
              <w:jc w:val="center"/>
              <w:rPr>
                <w:rFonts w:hint="default" w:ascii="Times New Roman" w:hAnsi="Times New Roman" w:eastAsia="宋体" w:cs="Times New Roman"/>
                <w:sz w:val="24"/>
                <w:szCs w:val="24"/>
                <w:vertAlign w:val="baseline"/>
                <w:lang w:val="en-US" w:eastAsia="zh-CN"/>
              </w:rPr>
            </w:pPr>
          </w:p>
        </w:tc>
        <w:tc>
          <w:tcPr>
            <w:tcW w:w="1825" w:type="dxa"/>
            <w:vMerge w:val="continue"/>
          </w:tcPr>
          <w:p>
            <w:pPr>
              <w:bidi w:val="0"/>
              <w:spacing w:line="240" w:lineRule="auto"/>
              <w:jc w:val="center"/>
              <w:rPr>
                <w:rFonts w:hint="default" w:ascii="Times New Roman" w:hAnsi="Times New Roman" w:eastAsia="宋体" w:cs="Times New Roman"/>
                <w:sz w:val="24"/>
                <w:szCs w:val="24"/>
                <w:lang w:val="en-US" w:eastAsia="zh-CN"/>
              </w:rPr>
            </w:pPr>
          </w:p>
        </w:tc>
        <w:tc>
          <w:tcPr>
            <w:tcW w:w="1238" w:type="dxa"/>
            <w:vAlign w:val="center"/>
          </w:tcPr>
          <w:p>
            <w:pPr>
              <w:bidi w:val="0"/>
              <w:spacing w:line="24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Task27</w:t>
            </w:r>
          </w:p>
        </w:tc>
        <w:tc>
          <w:tcPr>
            <w:tcW w:w="4617" w:type="dxa"/>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在规划软件中，点击分区按钮，对正、侧位透视片进行分区操作，完成并确认后进入下一步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vMerge w:val="continue"/>
          </w:tcPr>
          <w:p>
            <w:pPr>
              <w:spacing w:line="240" w:lineRule="auto"/>
              <w:jc w:val="center"/>
              <w:rPr>
                <w:rFonts w:hint="default" w:ascii="Times New Roman" w:hAnsi="Times New Roman" w:eastAsia="宋体" w:cs="Times New Roman"/>
                <w:sz w:val="24"/>
                <w:szCs w:val="24"/>
                <w:vertAlign w:val="baseline"/>
                <w:lang w:val="en-US" w:eastAsia="zh-CN"/>
              </w:rPr>
            </w:pPr>
          </w:p>
        </w:tc>
        <w:tc>
          <w:tcPr>
            <w:tcW w:w="1825" w:type="dxa"/>
            <w:vMerge w:val="continue"/>
          </w:tcPr>
          <w:p>
            <w:pPr>
              <w:spacing w:line="240" w:lineRule="auto"/>
              <w:rPr>
                <w:rFonts w:hint="default" w:ascii="Times New Roman" w:hAnsi="Times New Roman" w:eastAsia="宋体" w:cs="Times New Roman"/>
                <w:sz w:val="24"/>
                <w:szCs w:val="24"/>
                <w:vertAlign w:val="baseline"/>
                <w:lang w:val="en-US" w:eastAsia="zh-CN"/>
              </w:rPr>
            </w:pPr>
          </w:p>
        </w:tc>
        <w:tc>
          <w:tcPr>
            <w:tcW w:w="1238" w:type="dxa"/>
            <w:vAlign w:val="center"/>
          </w:tcPr>
          <w:p>
            <w:pPr>
              <w:spacing w:line="240" w:lineRule="auto"/>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Task32</w:t>
            </w:r>
          </w:p>
        </w:tc>
        <w:tc>
          <w:tcPr>
            <w:tcW w:w="4617"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使用遥控器的通道升降功能，控制导引通道至合适位置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vMerge w:val="continue"/>
          </w:tcPr>
          <w:p>
            <w:pPr>
              <w:spacing w:line="240" w:lineRule="auto"/>
              <w:jc w:val="center"/>
              <w:rPr>
                <w:rFonts w:hint="default" w:ascii="Times New Roman" w:hAnsi="Times New Roman" w:eastAsia="宋体" w:cs="Times New Roman"/>
                <w:sz w:val="24"/>
                <w:szCs w:val="24"/>
                <w:vertAlign w:val="baseline"/>
                <w:lang w:val="en-US" w:eastAsia="zh-CN"/>
              </w:rPr>
            </w:pPr>
          </w:p>
        </w:tc>
        <w:tc>
          <w:tcPr>
            <w:tcW w:w="1825" w:type="dxa"/>
            <w:vMerge w:val="continue"/>
          </w:tcPr>
          <w:p>
            <w:pPr>
              <w:spacing w:line="240" w:lineRule="auto"/>
              <w:rPr>
                <w:rFonts w:hint="default" w:ascii="Times New Roman" w:hAnsi="Times New Roman" w:eastAsia="宋体" w:cs="Times New Roman"/>
                <w:sz w:val="24"/>
                <w:szCs w:val="24"/>
                <w:vertAlign w:val="baseline"/>
                <w:lang w:val="en-US" w:eastAsia="zh-CN"/>
              </w:rPr>
            </w:pPr>
          </w:p>
        </w:tc>
        <w:tc>
          <w:tcPr>
            <w:tcW w:w="1238" w:type="dxa"/>
            <w:vAlign w:val="center"/>
          </w:tcPr>
          <w:p>
            <w:pPr>
              <w:spacing w:line="240" w:lineRule="auto"/>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Task33</w:t>
            </w:r>
          </w:p>
        </w:tc>
        <w:tc>
          <w:tcPr>
            <w:tcW w:w="4617" w:type="dxa"/>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观察体位反馈模块的激光点相对标记物的位置，精度范围内时沿通道执行置针操作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vMerge w:val="continue"/>
          </w:tcPr>
          <w:p>
            <w:pPr>
              <w:spacing w:line="240" w:lineRule="auto"/>
              <w:jc w:val="center"/>
              <w:rPr>
                <w:rFonts w:hint="default" w:ascii="Times New Roman" w:hAnsi="Times New Roman" w:eastAsia="宋体" w:cs="Times New Roman"/>
                <w:sz w:val="24"/>
                <w:szCs w:val="24"/>
                <w:vertAlign w:val="baseline"/>
                <w:lang w:val="en-US" w:eastAsia="zh-CN"/>
              </w:rPr>
            </w:pPr>
          </w:p>
        </w:tc>
        <w:tc>
          <w:tcPr>
            <w:tcW w:w="1825" w:type="dxa"/>
            <w:vMerge w:val="continue"/>
          </w:tcPr>
          <w:p>
            <w:pPr>
              <w:spacing w:line="240" w:lineRule="auto"/>
              <w:rPr>
                <w:rFonts w:hint="default" w:ascii="Times New Roman" w:hAnsi="Times New Roman" w:eastAsia="宋体" w:cs="Times New Roman"/>
                <w:sz w:val="24"/>
                <w:szCs w:val="24"/>
                <w:vertAlign w:val="baseline"/>
                <w:lang w:val="en-US" w:eastAsia="zh-CN"/>
              </w:rPr>
            </w:pPr>
          </w:p>
        </w:tc>
        <w:tc>
          <w:tcPr>
            <w:tcW w:w="1238" w:type="dxa"/>
            <w:vAlign w:val="center"/>
          </w:tcPr>
          <w:p>
            <w:pPr>
              <w:spacing w:line="24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Task43</w:t>
            </w:r>
          </w:p>
        </w:tc>
        <w:tc>
          <w:tcPr>
            <w:tcW w:w="4617" w:type="dxa"/>
          </w:tcPr>
          <w:p>
            <w:pPr>
              <w:spacing w:line="24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在需要执行置针操作时，观察体位反馈模块的激光点相对标记物的位置，满足精度要求时，执行置针操作。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vMerge w:val="restart"/>
            <w:vAlign w:val="center"/>
          </w:tcPr>
          <w:p>
            <w:pPr>
              <w:spacing w:line="240" w:lineRule="auto"/>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p>
        </w:tc>
        <w:tc>
          <w:tcPr>
            <w:tcW w:w="1825" w:type="dxa"/>
            <w:vMerge w:val="restart"/>
            <w:vAlign w:val="center"/>
          </w:tcPr>
          <w:p>
            <w:pPr>
              <w:spacing w:line="240" w:lineRule="auto"/>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工具包的灭菌操作</w:t>
            </w:r>
          </w:p>
        </w:tc>
        <w:tc>
          <w:tcPr>
            <w:tcW w:w="1238" w:type="dxa"/>
            <w:vAlign w:val="center"/>
          </w:tcPr>
          <w:p>
            <w:pPr>
              <w:spacing w:line="240" w:lineRule="auto"/>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Task45</w:t>
            </w:r>
          </w:p>
        </w:tc>
        <w:tc>
          <w:tcPr>
            <w:tcW w:w="4617" w:type="dxa"/>
          </w:tcPr>
          <w:p>
            <w:pPr>
              <w:spacing w:line="24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分别进行手工冲洗，超声波精洗，然后干燥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vMerge w:val="continue"/>
          </w:tcPr>
          <w:p>
            <w:pPr>
              <w:spacing w:line="240" w:lineRule="auto"/>
              <w:jc w:val="center"/>
              <w:rPr>
                <w:rFonts w:hint="default" w:ascii="Times New Roman" w:hAnsi="Times New Roman" w:eastAsia="宋体" w:cs="Times New Roman"/>
                <w:sz w:val="24"/>
                <w:szCs w:val="24"/>
                <w:vertAlign w:val="baseline"/>
                <w:lang w:val="en-US" w:eastAsia="zh-CN"/>
              </w:rPr>
            </w:pPr>
          </w:p>
        </w:tc>
        <w:tc>
          <w:tcPr>
            <w:tcW w:w="1825" w:type="dxa"/>
            <w:vMerge w:val="continue"/>
          </w:tcPr>
          <w:p>
            <w:pPr>
              <w:spacing w:line="240" w:lineRule="auto"/>
              <w:rPr>
                <w:rFonts w:hint="default" w:ascii="Times New Roman" w:hAnsi="Times New Roman" w:eastAsia="宋体" w:cs="Times New Roman"/>
                <w:sz w:val="24"/>
                <w:szCs w:val="24"/>
                <w:vertAlign w:val="baseline"/>
                <w:lang w:val="en-US" w:eastAsia="zh-CN"/>
              </w:rPr>
            </w:pPr>
          </w:p>
        </w:tc>
        <w:tc>
          <w:tcPr>
            <w:tcW w:w="1238" w:type="dxa"/>
            <w:vAlign w:val="center"/>
          </w:tcPr>
          <w:p>
            <w:pPr>
              <w:spacing w:line="240" w:lineRule="auto"/>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Task46</w:t>
            </w:r>
          </w:p>
        </w:tc>
        <w:tc>
          <w:tcPr>
            <w:tcW w:w="4617" w:type="dxa"/>
          </w:tcPr>
          <w:p>
            <w:pPr>
              <w:spacing w:line="24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低温等离子灭菌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vMerge w:val="restart"/>
            <w:vAlign w:val="center"/>
          </w:tcPr>
          <w:p>
            <w:pPr>
              <w:spacing w:line="240" w:lineRule="auto"/>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c>
          <w:tcPr>
            <w:tcW w:w="1825" w:type="dxa"/>
            <w:vMerge w:val="restart"/>
            <w:vAlign w:val="center"/>
          </w:tcPr>
          <w:p>
            <w:pPr>
              <w:spacing w:line="240" w:lineRule="auto"/>
              <w:jc w:val="left"/>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b w:val="0"/>
                <w:bCs w:val="0"/>
                <w:sz w:val="24"/>
                <w:szCs w:val="24"/>
                <w:lang w:val="en-US" w:eastAsia="zh-CN"/>
              </w:rPr>
              <w:t>术中器械操作</w:t>
            </w:r>
          </w:p>
        </w:tc>
        <w:tc>
          <w:tcPr>
            <w:tcW w:w="1238" w:type="dxa"/>
            <w:vAlign w:val="center"/>
          </w:tcPr>
          <w:p>
            <w:pPr>
              <w:spacing w:line="240" w:lineRule="auto"/>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Task49</w:t>
            </w:r>
          </w:p>
        </w:tc>
        <w:tc>
          <w:tcPr>
            <w:tcW w:w="4617" w:type="dxa"/>
          </w:tcPr>
          <w:p>
            <w:pPr>
              <w:spacing w:line="24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将定位装置配合无菌罩安装到机械臂的法兰端。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 w:type="dxa"/>
            <w:vMerge w:val="continue"/>
          </w:tcPr>
          <w:p>
            <w:pPr>
              <w:spacing w:line="240" w:lineRule="auto"/>
              <w:jc w:val="center"/>
              <w:rPr>
                <w:rFonts w:hint="default" w:ascii="Times New Roman" w:hAnsi="Times New Roman" w:eastAsia="宋体" w:cs="Times New Roman"/>
                <w:sz w:val="24"/>
                <w:szCs w:val="24"/>
                <w:vertAlign w:val="baseline"/>
                <w:lang w:val="en-US" w:eastAsia="zh-CN"/>
              </w:rPr>
            </w:pPr>
            <w:bookmarkStart w:id="32" w:name="_Toc2182"/>
          </w:p>
        </w:tc>
        <w:tc>
          <w:tcPr>
            <w:tcW w:w="1825" w:type="dxa"/>
            <w:vMerge w:val="continue"/>
          </w:tcPr>
          <w:p>
            <w:pPr>
              <w:spacing w:line="240" w:lineRule="auto"/>
              <w:rPr>
                <w:rFonts w:hint="default" w:ascii="Times New Roman" w:hAnsi="Times New Roman" w:eastAsia="宋体" w:cs="Times New Roman"/>
                <w:b w:val="0"/>
                <w:bCs w:val="0"/>
                <w:sz w:val="24"/>
                <w:szCs w:val="24"/>
                <w:lang w:val="en-US" w:eastAsia="zh-CN"/>
              </w:rPr>
            </w:pPr>
          </w:p>
        </w:tc>
        <w:tc>
          <w:tcPr>
            <w:tcW w:w="1238" w:type="dxa"/>
            <w:vAlign w:val="center"/>
          </w:tcPr>
          <w:p>
            <w:pPr>
              <w:spacing w:line="24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Task50</w:t>
            </w:r>
          </w:p>
        </w:tc>
        <w:tc>
          <w:tcPr>
            <w:tcW w:w="4617" w:type="dxa"/>
          </w:tcPr>
          <w:p>
            <w:pPr>
              <w:spacing w:line="24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用户在导引软件中选择目标工具,要求与实际术中安装的定位器械一致。</w:t>
            </w:r>
          </w:p>
        </w:tc>
      </w:tr>
    </w:tbl>
    <w:p>
      <w:pPr>
        <w:pStyle w:val="4"/>
        <w:bidi w:val="0"/>
        <w:ind w:left="575" w:leftChars="0" w:hanging="575" w:firstLineChars="0"/>
        <w:rPr>
          <w:rFonts w:hint="eastAsia"/>
          <w:lang w:val="en-US" w:eastAsia="zh-CN"/>
        </w:rPr>
      </w:pPr>
      <w:bookmarkStart w:id="33" w:name="_Toc23502"/>
      <w:r>
        <w:rPr>
          <w:rFonts w:hint="eastAsia"/>
          <w:lang w:val="en-US" w:eastAsia="zh-CN"/>
        </w:rPr>
        <w:t>基本操作功能的用户接口要求</w:t>
      </w:r>
      <w:bookmarkEnd w:id="32"/>
      <w:bookmarkEnd w:id="33"/>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根据5.5的基本操作功能的内容，识别基本操作功能需要的用户接口规格，如下：</w:t>
      </w:r>
    </w:p>
    <w:p>
      <w:pPr>
        <w:numPr>
          <w:ilvl w:val="1"/>
          <w:numId w:val="6"/>
        </w:numPr>
        <w:ind w:left="840" w:leftChars="0" w:hanging="420" w:firstLine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现场安装调试</w:t>
      </w:r>
    </w:p>
    <w:tbl>
      <w:tblPr>
        <w:tblStyle w:val="18"/>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5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显示器，规划台车，导引台车，工具包，机械臂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安装方便，无歧义。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显示器接口唯一对应，防误插设计。</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规划台车与导引台车网线接口无固定对应关系。</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机械臂安装位有定位标识，防误装设计。</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工具包的转接法兰有防误装设计。</w:t>
            </w:r>
          </w:p>
        </w:tc>
      </w:tr>
    </w:tbl>
    <w:p>
      <w:pPr>
        <w:numPr>
          <w:ilvl w:val="1"/>
          <w:numId w:val="6"/>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val="0"/>
          <w:sz w:val="24"/>
          <w:szCs w:val="24"/>
          <w:lang w:val="en-US" w:eastAsia="zh-CN"/>
        </w:rPr>
        <w:t>手术规划</w:t>
      </w:r>
    </w:p>
    <w:tbl>
      <w:tblPr>
        <w:tblStyle w:val="18"/>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5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图像重建、分割、复位，CT分区，规划，X光分区，配准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操作符合一般软件使用习惯。</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关键操作有相应提示。</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学习周期短，操作易上手。</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3D显示，信息直观，易懂。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图像重建后以3D+断层视图的形式呈现，还可以选中目标图像进行放大显示。</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图像交互方式符合常规阅片软件的习惯。</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CT分区和X光分区操作界面下有对应的操作提示、结果确认及教程。</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采用多视图联动规划的方法，方便用户规划目标植入物。</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复位移动的目标在移动、旋转时应可以选择目标运动中心。</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配准过程有详细提示，显示配准相似度值，有明显提示信息，让用户确认。</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实时检查导引模块与规划模块的连接状态并实时显示状态。</w:t>
            </w:r>
          </w:p>
        </w:tc>
      </w:tr>
    </w:tbl>
    <w:p>
      <w:pPr>
        <w:numPr>
          <w:ilvl w:val="1"/>
          <w:numId w:val="6"/>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术中导引</w:t>
      </w:r>
    </w:p>
    <w:tbl>
      <w:tblPr>
        <w:tblStyle w:val="18"/>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5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手眼标定、运动仿真、自由拖动、定位、运动及故障提示、脚踏运动控制、遥控通道升降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操作符合一般软件使用习惯。</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关键操作有相应提示。</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学习周期短，操作易上手。</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3D仿真显示，信息直观，易懂。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按钮图标大方、美观。</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手眼标定结果显示，过程有提示与确认。</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运动仿真界面操作简单。通过工具条调整仿真参数。仿真模型3D显示。</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自由拖动手感舒适。</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通过脚踏控制机械臂的定位运动。</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运动过程有灯光提示。</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出现故障时有故障灯光提示。</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通过遥控器控制通道的升降。</w:t>
            </w:r>
          </w:p>
        </w:tc>
      </w:tr>
    </w:tbl>
    <w:p>
      <w:pPr>
        <w:numPr>
          <w:ilvl w:val="1"/>
          <w:numId w:val="6"/>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术中监测</w:t>
      </w:r>
    </w:p>
    <w:tbl>
      <w:tblPr>
        <w:tblStyle w:val="18"/>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5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体位反馈模块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方便安装，多点指示，安全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激光光源功率</w:t>
            </w:r>
            <w:r>
              <w:rPr>
                <w:rFonts w:hint="default" w:ascii="Times New Roman" w:hAnsi="Times New Roman" w:cs="Times New Roman"/>
                <w:kern w:val="0"/>
                <w:sz w:val="24"/>
                <w:szCs w:val="24"/>
              </w:rPr>
              <w:t>≤0.39mW</w:t>
            </w:r>
            <w:r>
              <w:rPr>
                <w:rFonts w:hint="default" w:ascii="Times New Roman" w:hAnsi="Times New Roman" w:eastAsia="宋体" w:cs="Times New Roman"/>
                <w:sz w:val="24"/>
                <w:szCs w:val="24"/>
                <w:vertAlign w:val="baseline"/>
                <w:lang w:val="en-US" w:eastAsia="zh-CN"/>
              </w:rPr>
              <w:t>。</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激光波长520nm±10nm。</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激光点数至少为3点。</w:t>
            </w:r>
          </w:p>
        </w:tc>
      </w:tr>
    </w:tbl>
    <w:p>
      <w:pPr>
        <w:numPr>
          <w:ilvl w:val="1"/>
          <w:numId w:val="6"/>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基于配准板的手眼标定和图像配准</w:t>
      </w:r>
    </w:p>
    <w:tbl>
      <w:tblPr>
        <w:tblStyle w:val="18"/>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5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配准板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操作方便，可靠，计算速度快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配准板重复定位安装</w:t>
            </w:r>
            <w:r>
              <w:rPr>
                <w:rFonts w:hint="default" w:ascii="Times New Roman" w:hAnsi="Times New Roman" w:cs="Times New Roman"/>
                <w:kern w:val="0"/>
                <w:sz w:val="24"/>
                <w:szCs w:val="24"/>
              </w:rPr>
              <w:t>误差：≤±0.1mm</w:t>
            </w:r>
            <w:r>
              <w:rPr>
                <w:rFonts w:hint="default" w:ascii="Times New Roman" w:hAnsi="Times New Roman" w:eastAsia="宋体" w:cs="Times New Roman"/>
                <w:sz w:val="24"/>
                <w:szCs w:val="24"/>
                <w:vertAlign w:val="baseline"/>
                <w:lang w:val="en-US" w:eastAsia="zh-CN"/>
              </w:rPr>
              <w:t>。</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配准板分两层结构。</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可用在X光下显影。</w:t>
            </w:r>
          </w:p>
        </w:tc>
      </w:tr>
    </w:tbl>
    <w:p>
      <w:pPr>
        <w:numPr>
          <w:ilvl w:val="1"/>
          <w:numId w:val="6"/>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遥控器控制通道升降</w:t>
      </w:r>
    </w:p>
    <w:tbl>
      <w:tblPr>
        <w:tblStyle w:val="18"/>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5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遥控器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方便、可靠，适合使用习惯，大小合适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vAlign w:val="center"/>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遥控器的表面磨砂，哑光医疗白。</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按键高度不低于2mm。</w:t>
            </w:r>
          </w:p>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按键上下布</w:t>
            </w:r>
            <w:bookmarkStart w:id="50" w:name="_GoBack"/>
            <w:bookmarkEnd w:id="50"/>
            <w:r>
              <w:rPr>
                <w:rFonts w:hint="default" w:ascii="Times New Roman" w:hAnsi="Times New Roman" w:eastAsia="宋体" w:cs="Times New Roman"/>
                <w:sz w:val="24"/>
                <w:szCs w:val="24"/>
                <w:vertAlign w:val="baseline"/>
                <w:lang w:val="en-US" w:eastAsia="zh-CN"/>
              </w:rPr>
              <w:t>置，按键大小与大拇指适配，形状代表升降的信息。</w:t>
            </w:r>
          </w:p>
        </w:tc>
      </w:tr>
    </w:tbl>
    <w:p>
      <w:pPr>
        <w:numPr>
          <w:ilvl w:val="1"/>
          <w:numId w:val="6"/>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工具灭菌</w:t>
      </w:r>
    </w:p>
    <w:tbl>
      <w:tblPr>
        <w:tblStyle w:val="18"/>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5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用户接口要素</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工具套筒、配准板、定位器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使用者操作需求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表面光滑容易清洗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2044" w:type="dxa"/>
          </w:tcPr>
          <w:p>
            <w:pPr>
              <w:numPr>
                <w:ilvl w:val="0"/>
                <w:numId w:val="0"/>
              </w:num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接口规格要求</w:t>
            </w:r>
          </w:p>
        </w:tc>
        <w:tc>
          <w:tcPr>
            <w:tcW w:w="5648" w:type="dxa"/>
          </w:tcPr>
          <w:p>
            <w:pPr>
              <w:numPr>
                <w:ilvl w:val="0"/>
                <w:numId w:val="0"/>
              </w:numP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表面光滑、无细微孔洞缺陷，边缘无毛刺，工具盒尺寸300mm x 200mm x 150mm内。材质适用于低温等离子消毒。</w:t>
            </w:r>
          </w:p>
        </w:tc>
      </w:tr>
    </w:tbl>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用户接口要求最终输出至《产品技术需求说明书》中。</w:t>
      </w:r>
    </w:p>
    <w:p>
      <w:pPr>
        <w:pStyle w:val="4"/>
        <w:bidi w:val="0"/>
        <w:ind w:left="575" w:leftChars="0" w:hanging="575" w:firstLineChars="0"/>
        <w:rPr>
          <w:rFonts w:hint="eastAsia"/>
          <w:lang w:val="en-US" w:eastAsia="zh-CN"/>
        </w:rPr>
      </w:pPr>
      <w:bookmarkStart w:id="34" w:name="_Toc28596"/>
      <w:bookmarkStart w:id="35" w:name="_Toc18762"/>
      <w:r>
        <w:rPr>
          <w:rFonts w:hint="eastAsia"/>
          <w:lang w:val="en-US" w:eastAsia="zh-CN"/>
        </w:rPr>
        <w:t>随附文件需求</w:t>
      </w:r>
      <w:bookmarkEnd w:id="34"/>
      <w:bookmarkEnd w:id="35"/>
    </w:p>
    <w:p>
      <w:pPr>
        <w:keepNext w:val="0"/>
        <w:keepLines w:val="0"/>
        <w:pageBreakBefore w:val="0"/>
        <w:widowControl w:val="0"/>
        <w:kinsoku/>
        <w:wordWrap/>
        <w:overflowPunct/>
        <w:topLinePunct w:val="0"/>
        <w:autoSpaceDE/>
        <w:autoSpaceDN/>
        <w:bidi w:val="0"/>
        <w:adjustRightInd/>
        <w:snapToGrid/>
        <w:spacing w:line="348" w:lineRule="auto"/>
        <w:ind w:firstLine="420" w:firstLineChars="0"/>
        <w:textAlignment w:val="auto"/>
        <w:rPr>
          <w:rFonts w:hint="eastAsia"/>
          <w:lang w:val="en-US" w:eastAsia="zh-CN"/>
        </w:rPr>
      </w:pPr>
      <w:r>
        <w:rPr>
          <w:rFonts w:hint="eastAsia"/>
          <w:lang w:val="en-US" w:eastAsia="zh-CN"/>
        </w:rPr>
        <w:t>本产品提供的随附文件为使用说明书，对使用说明书的要求如下：</w:t>
      </w:r>
    </w:p>
    <w:p>
      <w:pPr>
        <w:keepNext w:val="0"/>
        <w:keepLines w:val="0"/>
        <w:pageBreakBefore w:val="0"/>
        <w:widowControl w:val="0"/>
        <w:numPr>
          <w:ilvl w:val="1"/>
          <w:numId w:val="7"/>
        </w:numPr>
        <w:kinsoku/>
        <w:wordWrap/>
        <w:overflowPunct/>
        <w:topLinePunct w:val="0"/>
        <w:autoSpaceDE/>
        <w:autoSpaceDN/>
        <w:bidi w:val="0"/>
        <w:adjustRightInd/>
        <w:snapToGrid/>
        <w:spacing w:line="348" w:lineRule="auto"/>
        <w:ind w:left="840" w:leftChars="0" w:hanging="420" w:firstLineChars="0"/>
        <w:textAlignment w:val="auto"/>
        <w:rPr>
          <w:rFonts w:hint="eastAsia"/>
          <w:lang w:val="en-US" w:eastAsia="zh-CN"/>
        </w:rPr>
      </w:pPr>
      <w:r>
        <w:rPr>
          <w:rFonts w:hint="eastAsia"/>
          <w:lang w:val="en-US" w:eastAsia="zh-CN"/>
        </w:rPr>
        <w:t>在阅读使用说明书后整个设备的使用过程应易于执行。使用的步骤如下：</w:t>
      </w:r>
    </w:p>
    <w:p>
      <w:pPr>
        <w:keepNext w:val="0"/>
        <w:keepLines w:val="0"/>
        <w:pageBreakBefore w:val="0"/>
        <w:widowControl w:val="0"/>
        <w:numPr>
          <w:ilvl w:val="2"/>
          <w:numId w:val="8"/>
        </w:numPr>
        <w:kinsoku/>
        <w:wordWrap/>
        <w:overflowPunct/>
        <w:topLinePunct w:val="0"/>
        <w:autoSpaceDE/>
        <w:autoSpaceDN/>
        <w:bidi w:val="0"/>
        <w:adjustRightInd/>
        <w:snapToGrid/>
        <w:spacing w:line="348"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开启规划模块、导引模块。</w:t>
      </w:r>
    </w:p>
    <w:p>
      <w:pPr>
        <w:keepNext w:val="0"/>
        <w:keepLines w:val="0"/>
        <w:pageBreakBefore w:val="0"/>
        <w:widowControl w:val="0"/>
        <w:numPr>
          <w:ilvl w:val="2"/>
          <w:numId w:val="8"/>
        </w:numPr>
        <w:kinsoku/>
        <w:wordWrap/>
        <w:overflowPunct/>
        <w:topLinePunct w:val="0"/>
        <w:autoSpaceDE/>
        <w:autoSpaceDN/>
        <w:bidi w:val="0"/>
        <w:adjustRightInd/>
        <w:snapToGrid/>
        <w:spacing w:line="348"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根据临床现场情况，合理摆放导引台车，然后升起脚轮，使得支撑脚着地。</w:t>
      </w:r>
    </w:p>
    <w:p>
      <w:pPr>
        <w:keepNext w:val="0"/>
        <w:keepLines w:val="0"/>
        <w:pageBreakBefore w:val="0"/>
        <w:widowControl w:val="0"/>
        <w:numPr>
          <w:ilvl w:val="2"/>
          <w:numId w:val="8"/>
        </w:numPr>
        <w:kinsoku/>
        <w:wordWrap/>
        <w:overflowPunct/>
        <w:topLinePunct w:val="0"/>
        <w:autoSpaceDE/>
        <w:autoSpaceDN/>
        <w:bidi w:val="0"/>
        <w:adjustRightInd/>
        <w:snapToGrid/>
        <w:spacing w:line="348"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开启体位反馈模块，并安装至导引台车上。</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调整体位反馈模块激光点在患者术野区域的位置，并在患者体表标记。</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分别登录规划软件和导引软件，选择规划软件的目标模块，进入规划软件的数据管理界面。</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导入患者CT，并重建。</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骨骼分割，虚拟复位。</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CT分区，螺钉规划。</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选择目标工具（定位器），安装配准板至导引台车，进行手眼标定。</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在规划软件上进行X光分区，然后进行单椎体配准。</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确认相似度后，选择目标螺钉，下发定位数据。</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导引模块进行运动仿真，确认无误后，下发定位动作。</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踩脚踏控制机械臂运动至目标位置。</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将工具套筒放入定位通道中，用户顺着定位通道进行置针操作。</w:t>
      </w:r>
    </w:p>
    <w:p>
      <w:pPr>
        <w:pageBreakBefore w:val="0"/>
        <w:widowControl w:val="0"/>
        <w:numPr>
          <w:ilvl w:val="2"/>
          <w:numId w:val="8"/>
        </w:numPr>
        <w:kinsoku/>
        <w:wordWrap/>
        <w:overflowPunct/>
        <w:topLinePunct w:val="0"/>
        <w:autoSpaceDE/>
        <w:autoSpaceDN/>
        <w:bidi w:val="0"/>
        <w:adjustRightInd/>
        <w:snapToGrid/>
        <w:spacing w:line="346" w:lineRule="auto"/>
        <w:ind w:left="1260" w:leftChars="0" w:hanging="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完成手术后，关闭系统。</w:t>
      </w:r>
    </w:p>
    <w:p>
      <w:pPr>
        <w:pageBreakBefore w:val="0"/>
        <w:widowControl w:val="0"/>
        <w:numPr>
          <w:ilvl w:val="1"/>
          <w:numId w:val="7"/>
        </w:numPr>
        <w:kinsoku/>
        <w:wordWrap/>
        <w:overflowPunct/>
        <w:topLinePunct w:val="0"/>
        <w:autoSpaceDE/>
        <w:autoSpaceDN/>
        <w:bidi w:val="0"/>
        <w:adjustRightInd/>
        <w:snapToGrid/>
        <w:spacing w:line="346" w:lineRule="auto"/>
        <w:ind w:left="840" w:leftChars="0" w:hanging="420" w:firstLineChars="0"/>
        <w:textAlignment w:val="auto"/>
        <w:rPr>
          <w:rFonts w:hint="eastAsia"/>
          <w:lang w:val="en-US" w:eastAsia="zh-CN"/>
        </w:rPr>
      </w:pPr>
      <w:r>
        <w:rPr>
          <w:rFonts w:hint="eastAsia"/>
          <w:lang w:val="en-US" w:eastAsia="zh-CN"/>
        </w:rPr>
        <w:t>阅读使用说明书后安全信息能够被准确识别。</w:t>
      </w:r>
    </w:p>
    <w:p>
      <w:pPr>
        <w:pStyle w:val="4"/>
        <w:pageBreakBefore w:val="0"/>
        <w:widowControl w:val="0"/>
        <w:kinsoku/>
        <w:wordWrap/>
        <w:overflowPunct/>
        <w:topLinePunct w:val="0"/>
        <w:autoSpaceDE/>
        <w:autoSpaceDN/>
        <w:bidi w:val="0"/>
        <w:adjustRightInd/>
        <w:snapToGrid/>
        <w:spacing w:line="240" w:lineRule="auto"/>
        <w:ind w:left="575" w:leftChars="0" w:hanging="575" w:firstLineChars="0"/>
        <w:textAlignment w:val="auto"/>
        <w:rPr>
          <w:rFonts w:hint="default"/>
          <w:lang w:val="en-US" w:eastAsia="zh-CN"/>
        </w:rPr>
      </w:pPr>
      <w:bookmarkStart w:id="36" w:name="_Toc16041"/>
      <w:bookmarkStart w:id="37" w:name="_Toc23229"/>
      <w:r>
        <w:rPr>
          <w:rFonts w:hint="eastAsia"/>
          <w:lang w:val="en-US" w:eastAsia="zh-CN"/>
        </w:rPr>
        <w:t>基本操作功能易于被用户认知的需求</w:t>
      </w:r>
      <w:bookmarkEnd w:id="36"/>
      <w:bookmarkEnd w:id="37"/>
    </w:p>
    <w:p>
      <w:pPr>
        <w:pStyle w:val="5"/>
        <w:pageBreakBefore w:val="0"/>
        <w:widowControl w:val="0"/>
        <w:kinsoku/>
        <w:wordWrap/>
        <w:overflowPunct/>
        <w:topLinePunct w:val="0"/>
        <w:autoSpaceDE/>
        <w:autoSpaceDN/>
        <w:bidi w:val="0"/>
        <w:adjustRightInd/>
        <w:snapToGrid/>
        <w:spacing w:line="240" w:lineRule="auto"/>
        <w:ind w:left="833" w:leftChars="0" w:hanging="833" w:firstLineChars="0"/>
        <w:textAlignment w:val="auto"/>
        <w:rPr>
          <w:lang w:eastAsia="zh-CN"/>
        </w:rPr>
      </w:pPr>
      <w:bookmarkStart w:id="38" w:name="_Toc17469"/>
      <w:bookmarkStart w:id="39" w:name="_Toc3105"/>
      <w:r>
        <w:rPr>
          <w:rFonts w:hint="eastAsia"/>
          <w:lang w:eastAsia="zh-CN"/>
        </w:rPr>
        <w:t>基本操作功能易于被认知的需求</w:t>
      </w:r>
      <w:bookmarkEnd w:id="38"/>
      <w:bookmarkEnd w:id="39"/>
    </w:p>
    <w:p>
      <w:pPr>
        <w:pageBreakBefore w:val="0"/>
        <w:widowControl w:val="0"/>
        <w:kinsoku/>
        <w:wordWrap/>
        <w:overflowPunct/>
        <w:topLinePunct w:val="0"/>
        <w:autoSpaceDE/>
        <w:autoSpaceDN/>
        <w:bidi w:val="0"/>
        <w:adjustRightInd/>
        <w:snapToGrid/>
        <w:spacing w:line="346" w:lineRule="auto"/>
        <w:ind w:firstLine="420" w:firstLineChars="0"/>
        <w:textAlignment w:val="auto"/>
        <w:rPr>
          <w:rFonts w:hint="default"/>
          <w:lang w:val="en-US" w:eastAsia="zh-CN"/>
        </w:rPr>
      </w:pPr>
      <w:r>
        <w:rPr>
          <w:rFonts w:hint="eastAsia"/>
          <w:lang w:val="en-US" w:eastAsia="zh-CN"/>
        </w:rPr>
        <w:t>无其他附加要求。</w:t>
      </w:r>
    </w:p>
    <w:p>
      <w:pPr>
        <w:pStyle w:val="5"/>
        <w:pageBreakBefore w:val="0"/>
        <w:widowControl w:val="0"/>
        <w:kinsoku/>
        <w:wordWrap/>
        <w:overflowPunct/>
        <w:topLinePunct w:val="0"/>
        <w:autoSpaceDE/>
        <w:autoSpaceDN/>
        <w:bidi w:val="0"/>
        <w:adjustRightInd/>
        <w:snapToGrid/>
        <w:spacing w:line="29" w:lineRule="atLeast"/>
        <w:ind w:left="833" w:leftChars="0" w:hanging="833" w:firstLineChars="0"/>
        <w:textAlignment w:val="auto"/>
        <w:rPr>
          <w:rFonts w:hint="eastAsia"/>
          <w:lang w:eastAsia="zh-CN"/>
        </w:rPr>
      </w:pPr>
      <w:bookmarkStart w:id="40" w:name="_Toc11371"/>
      <w:bookmarkStart w:id="41" w:name="_Toc7256"/>
      <w:r>
        <w:rPr>
          <w:rFonts w:hint="eastAsia"/>
          <w:lang w:eastAsia="zh-CN"/>
        </w:rPr>
        <w:t>培训和培训资料的需求</w:t>
      </w:r>
      <w:bookmarkEnd w:id="40"/>
      <w:bookmarkEnd w:id="41"/>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需要对产品的使用者、维护者、调试者进行针对性的操作</w:t>
      </w:r>
      <w:r>
        <w:rPr>
          <w:rFonts w:hint="eastAsia"/>
          <w:lang w:eastAsia="zh-CN"/>
        </w:rPr>
        <w:t>培训，</w:t>
      </w:r>
      <w:r>
        <w:rPr>
          <w:rFonts w:hint="eastAsia"/>
          <w:lang w:val="en-US" w:eastAsia="zh-CN"/>
        </w:rPr>
        <w:t>包括基础理论知识培训、实操培训、调试技巧培训等。培训资料需要具备可用性。</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eastAsia="zh-CN"/>
        </w:rPr>
        <w:t>培训方式包括手册、面授、实操。</w:t>
      </w:r>
      <w:r>
        <w:rPr>
          <w:rFonts w:hint="eastAsia"/>
          <w:lang w:val="en-US" w:eastAsia="zh-CN"/>
        </w:rPr>
        <w:br w:type="page"/>
      </w:r>
    </w:p>
    <w:p>
      <w:pPr>
        <w:pStyle w:val="2"/>
        <w:bidi w:val="0"/>
        <w:rPr>
          <w:rFonts w:hint="default"/>
          <w:lang w:val="en-US" w:eastAsia="zh-CN"/>
        </w:rPr>
      </w:pPr>
      <w:bookmarkStart w:id="42" w:name="_Toc15640"/>
      <w:bookmarkStart w:id="43" w:name="_Toc22765"/>
      <w:r>
        <w:rPr>
          <w:rFonts w:hint="eastAsia"/>
          <w:lang w:val="en-US" w:eastAsia="zh-CN"/>
        </w:rPr>
        <w:t>可用性评估</w:t>
      </w:r>
      <w:bookmarkEnd w:id="42"/>
      <w:bookmarkEnd w:id="43"/>
    </w:p>
    <w:p>
      <w:pPr>
        <w:pStyle w:val="4"/>
        <w:bidi w:val="0"/>
        <w:ind w:left="575" w:leftChars="0" w:hanging="575" w:firstLineChars="0"/>
        <w:rPr>
          <w:rFonts w:hint="eastAsia"/>
          <w:lang w:val="en-US" w:eastAsia="zh-CN"/>
        </w:rPr>
      </w:pPr>
      <w:bookmarkStart w:id="44" w:name="_Toc5681"/>
      <w:bookmarkStart w:id="45" w:name="_Toc18848"/>
      <w:r>
        <w:rPr>
          <w:rFonts w:hint="eastAsia"/>
          <w:lang w:val="en-US" w:eastAsia="zh-CN"/>
        </w:rPr>
        <w:t>可用性验证</w:t>
      </w:r>
      <w:bookmarkEnd w:id="44"/>
      <w:bookmarkEnd w:id="45"/>
    </w:p>
    <w:p>
      <w:pPr>
        <w:ind w:firstLine="420" w:firstLineChars="0"/>
        <w:rPr>
          <w:rFonts w:hint="default"/>
          <w:lang w:val="en-US" w:eastAsia="zh-CN"/>
        </w:rPr>
      </w:pPr>
      <w:r>
        <w:rPr>
          <w:rFonts w:hint="eastAsia"/>
          <w:lang w:val="en-US" w:eastAsia="zh-CN"/>
        </w:rPr>
        <w:t>根据可用性任务分析的情况，制定相关可用性验证计划。项目组按计划对产品进行可用性验证并统计、分析可用性验证结果。</w:t>
      </w:r>
    </w:p>
    <w:p>
      <w:pPr>
        <w:pStyle w:val="4"/>
        <w:bidi w:val="0"/>
        <w:ind w:left="575" w:leftChars="0" w:hanging="575" w:firstLineChars="0"/>
        <w:rPr>
          <w:rFonts w:hint="default"/>
          <w:lang w:val="en-US" w:eastAsia="zh-CN"/>
        </w:rPr>
      </w:pPr>
      <w:bookmarkStart w:id="46" w:name="_Toc78"/>
      <w:bookmarkStart w:id="47" w:name="_Toc28366"/>
      <w:r>
        <w:rPr>
          <w:rFonts w:hint="eastAsia"/>
          <w:lang w:val="en-US" w:eastAsia="zh-CN"/>
        </w:rPr>
        <w:t>可用性确认</w:t>
      </w:r>
      <w:bookmarkEnd w:id="46"/>
      <w:bookmarkEnd w:id="47"/>
    </w:p>
    <w:p>
      <w:pPr>
        <w:ind w:firstLine="420" w:firstLineChars="0"/>
        <w:rPr>
          <w:rFonts w:hint="default"/>
          <w:lang w:val="en-US" w:eastAsia="zh-CN"/>
        </w:rPr>
      </w:pPr>
      <w:r>
        <w:rPr>
          <w:rFonts w:hint="default"/>
          <w:lang w:val="en-US" w:eastAsia="zh-CN"/>
        </w:rPr>
        <w:t>在完成用户界面的设计和实现后，对与安全相关的使用场景进行</w:t>
      </w:r>
      <w:r>
        <w:rPr>
          <w:rFonts w:hint="eastAsia"/>
          <w:lang w:val="en-US" w:eastAsia="zh-CN"/>
        </w:rPr>
        <w:t>可用性确认</w:t>
      </w:r>
      <w:r>
        <w:rPr>
          <w:rFonts w:hint="default"/>
          <w:lang w:val="en-US" w:eastAsia="zh-CN"/>
        </w:rPr>
        <w:t>，</w:t>
      </w:r>
      <w:bookmarkStart w:id="48" w:name="_Toc11114"/>
      <w:r>
        <w:rPr>
          <w:rFonts w:hint="eastAsia"/>
          <w:lang w:val="en-US" w:eastAsia="zh-CN"/>
        </w:rPr>
        <w:t>制定相关可用性确认计划。项目组按计划对产品进行可用性确认并统计、分析可用性确认的结果。</w:t>
      </w:r>
    </w:p>
    <w:p>
      <w:pPr>
        <w:ind w:firstLine="420" w:firstLineChars="0"/>
        <w:rPr>
          <w:rFonts w:hint="default"/>
          <w:lang w:val="en-US" w:eastAsia="zh-CN"/>
        </w:rPr>
      </w:pPr>
    </w:p>
    <w:p>
      <w:pPr>
        <w:rPr>
          <w:rFonts w:hint="default"/>
          <w:lang w:val="en-US" w:eastAsia="zh-CN"/>
        </w:rPr>
      </w:pPr>
      <w:r>
        <w:rPr>
          <w:rFonts w:hint="eastAsia"/>
          <w:lang w:val="en-US" w:eastAsia="zh-CN"/>
        </w:rPr>
        <w:br w:type="page"/>
      </w:r>
    </w:p>
    <w:p>
      <w:pPr>
        <w:pStyle w:val="2"/>
        <w:bidi w:val="0"/>
        <w:rPr>
          <w:rFonts w:hint="default"/>
          <w:lang w:val="en-US" w:eastAsia="zh-CN"/>
        </w:rPr>
      </w:pPr>
      <w:bookmarkStart w:id="49" w:name="_Toc19369"/>
      <w:r>
        <w:rPr>
          <w:rFonts w:hint="eastAsia"/>
          <w:lang w:val="en-US" w:eastAsia="zh-CN"/>
        </w:rPr>
        <w:t>结论</w:t>
      </w:r>
      <w:bookmarkEnd w:id="48"/>
      <w:bookmarkEnd w:id="49"/>
    </w:p>
    <w:p>
      <w:pPr>
        <w:bidi w:val="0"/>
        <w:ind w:firstLine="560" w:firstLineChars="200"/>
        <w:rPr>
          <w:rFonts w:hint="eastAsia" w:ascii="宋体" w:hAnsi="宋体" w:eastAsia="宋体" w:cs="宋体"/>
          <w:lang w:val="en-US" w:eastAsia="zh-CN"/>
        </w:rPr>
      </w:pPr>
      <w:r>
        <w:rPr>
          <w:rFonts w:hint="eastAsia" w:ascii="宋体" w:hAnsi="宋体" w:cs="宋体"/>
          <w:lang w:val="en-US" w:eastAsia="zh-CN"/>
        </w:rPr>
        <w:t>记录</w:t>
      </w:r>
      <w:r>
        <w:rPr>
          <w:rFonts w:hint="eastAsia" w:ascii="宋体" w:hAnsi="宋体" w:eastAsia="宋体" w:cs="宋体"/>
          <w:lang w:val="en-US" w:eastAsia="zh-CN"/>
        </w:rPr>
        <w:t>可用性工程</w:t>
      </w:r>
      <w:r>
        <w:rPr>
          <w:rFonts w:hint="eastAsia" w:ascii="宋体" w:hAnsi="宋体" w:cs="宋体"/>
          <w:lang w:val="en-US" w:eastAsia="zh-CN"/>
        </w:rPr>
        <w:t>的开展</w:t>
      </w:r>
      <w:r>
        <w:rPr>
          <w:rFonts w:hint="eastAsia" w:ascii="宋体" w:hAnsi="宋体" w:eastAsia="宋体" w:cs="宋体"/>
          <w:lang w:val="en-US" w:eastAsia="zh-CN"/>
        </w:rPr>
        <w:t>过程，分析</w:t>
      </w:r>
      <w:r>
        <w:rPr>
          <w:rFonts w:hint="eastAsia" w:ascii="宋体" w:hAnsi="宋体" w:cs="宋体"/>
          <w:lang w:val="en-US" w:eastAsia="zh-CN"/>
        </w:rPr>
        <w:t>产品用户需求</w:t>
      </w:r>
      <w:r>
        <w:rPr>
          <w:rFonts w:hint="eastAsia" w:ascii="宋体" w:hAnsi="宋体" w:eastAsia="宋体" w:cs="宋体"/>
          <w:lang w:val="en-US" w:eastAsia="zh-CN"/>
        </w:rPr>
        <w:t>，通过可用性需求评估、可用性任务分析</w:t>
      </w:r>
      <w:r>
        <w:rPr>
          <w:rFonts w:hint="eastAsia" w:ascii="宋体" w:hAnsi="宋体" w:cs="宋体"/>
          <w:lang w:val="en-US" w:eastAsia="zh-CN"/>
        </w:rPr>
        <w:t>，</w:t>
      </w:r>
      <w:r>
        <w:rPr>
          <w:rFonts w:hint="eastAsia" w:ascii="宋体" w:hAnsi="宋体" w:eastAsia="宋体" w:cs="宋体"/>
          <w:lang w:val="en-US" w:eastAsia="zh-CN"/>
        </w:rPr>
        <w:t>识别出可能的使用错误、频繁使用的功能，结合风险管理RAC文件的风险识别</w:t>
      </w:r>
      <w:r>
        <w:rPr>
          <w:rFonts w:hint="eastAsia" w:ascii="宋体" w:hAnsi="宋体" w:cs="宋体"/>
          <w:lang w:val="en-US" w:eastAsia="zh-CN"/>
        </w:rPr>
        <w:t>，识别</w:t>
      </w:r>
      <w:r>
        <w:rPr>
          <w:rFonts w:hint="eastAsia" w:ascii="宋体" w:hAnsi="宋体" w:eastAsia="宋体" w:cs="宋体"/>
          <w:lang w:val="en-US" w:eastAsia="zh-CN"/>
        </w:rPr>
        <w:t>出与安全相关的功能，形成基本操作功能,进而形成用户接口规格，输出至产品</w:t>
      </w:r>
      <w:r>
        <w:rPr>
          <w:rFonts w:hint="eastAsia" w:ascii="宋体" w:hAnsi="宋体" w:cs="宋体"/>
          <w:lang w:val="en-US" w:eastAsia="zh-CN"/>
        </w:rPr>
        <w:t>需求</w:t>
      </w:r>
      <w:r>
        <w:rPr>
          <w:rFonts w:hint="eastAsia" w:ascii="宋体" w:hAnsi="宋体" w:eastAsia="宋体" w:cs="宋体"/>
          <w:lang w:val="en-US" w:eastAsia="zh-CN"/>
        </w:rPr>
        <w:t>规格书中进一步设计和实现</w:t>
      </w:r>
      <w:r>
        <w:rPr>
          <w:rFonts w:hint="eastAsia" w:ascii="宋体" w:hAnsi="宋体" w:cs="宋体"/>
          <w:lang w:val="en-US" w:eastAsia="zh-CN"/>
        </w:rPr>
        <w:t>。</w:t>
      </w:r>
      <w:r>
        <w:rPr>
          <w:rFonts w:hint="eastAsia" w:ascii="宋体" w:hAnsi="宋体" w:eastAsia="宋体" w:cs="宋体"/>
          <w:lang w:val="en-US" w:eastAsia="zh-CN"/>
        </w:rPr>
        <w:t>最终</w:t>
      </w:r>
      <w:r>
        <w:rPr>
          <w:rFonts w:hint="eastAsia" w:ascii="宋体" w:hAnsi="宋体" w:cs="宋体"/>
          <w:lang w:val="en-US" w:eastAsia="zh-CN"/>
        </w:rPr>
        <w:t>通过可行性验证与确认对产品的可用性进行评估，</w:t>
      </w:r>
      <w:r>
        <w:rPr>
          <w:rFonts w:hint="eastAsia" w:ascii="宋体" w:hAnsi="宋体" w:eastAsia="宋体" w:cs="宋体"/>
          <w:color w:val="auto"/>
          <w:lang w:val="en-US" w:eastAsia="zh-CN"/>
        </w:rPr>
        <w:t>确保本</w:t>
      </w:r>
      <w:r>
        <w:rPr>
          <w:rFonts w:hint="eastAsia" w:ascii="宋体" w:hAnsi="宋体" w:eastAsia="宋体" w:cs="宋体"/>
          <w:lang w:val="en-US" w:eastAsia="zh-CN"/>
        </w:rPr>
        <w:t>产品的安全性和有效性。</w:t>
      </w:r>
    </w:p>
    <w:sectPr>
      <w:footerReference r:id="rId7" w:type="default"/>
      <w:pgSz w:w="11906" w:h="16838"/>
      <w:pgMar w:top="1417" w:right="1800" w:bottom="850" w:left="1800" w:header="851" w:footer="283" w:gutter="0"/>
      <w:pgNumType w:fmt="decimal" w:start="1"/>
      <w:cols w:space="0" w:num="1"/>
      <w:rtlGutter w:val="0"/>
      <w:docGrid w:type="lines" w:linePitch="38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default" w:ascii="Times New Roman" w:hAnsi="Times New Roman" w:eastAsia="宋体" w:cs="Times New Roman"/>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3"/>
                      <w:rPr>
                        <w:rFonts w:hint="default" w:ascii="Times New Roman" w:hAnsi="Times New Roman" w:eastAsia="宋体" w:cs="Times New Roman"/>
                        <w:lang w:eastAsia="zh-CN"/>
                      </w:rPr>
                    </w:pP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3"/>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hint="default" w:eastAsia="宋体"/>
        <w:sz w:val="21"/>
        <w:szCs w:val="32"/>
        <w:lang w:val="en-US" w:eastAsia="zh-CN"/>
      </w:rPr>
    </w:pPr>
    <w:r>
      <w:rPr>
        <w:rFonts w:hint="eastAsia"/>
        <w:sz w:val="21"/>
        <w:szCs w:val="32"/>
        <w:lang w:val="en-US" w:eastAsia="zh-CN"/>
      </w:rPr>
      <w:t xml:space="preserve">                                                       杭州三坛医疗科技有限公司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1FD13"/>
    <w:multiLevelType w:val="multilevel"/>
    <w:tmpl w:val="85D1FD13"/>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090E8CD"/>
    <w:multiLevelType w:val="multilevel"/>
    <w:tmpl w:val="9090E8CD"/>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390490A"/>
    <w:multiLevelType w:val="multilevel"/>
    <w:tmpl w:val="D390490A"/>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9B4F8BB"/>
    <w:multiLevelType w:val="multilevel"/>
    <w:tmpl w:val="D9B4F8BB"/>
    <w:lvl w:ilvl="0" w:tentative="0">
      <w:start w:val="1"/>
      <w:numFmt w:val="chineseCounting"/>
      <w:pStyle w:val="2"/>
      <w:suff w:val="nothing"/>
      <w:lvlText w:val="第%1章 "/>
      <w:lvlJc w:val="left"/>
      <w:pPr>
        <w:tabs>
          <w:tab w:val="left" w:pos="420"/>
        </w:tabs>
        <w:ind w:left="432" w:hanging="432"/>
      </w:pPr>
      <w:rPr>
        <w:rFonts w:hint="eastAsia" w:ascii="宋体" w:hAnsi="宋体" w:eastAsia="宋体" w:cs="宋体"/>
      </w:rPr>
    </w:lvl>
    <w:lvl w:ilvl="1" w:tentative="0">
      <w:start w:val="1"/>
      <w:numFmt w:val="decimal"/>
      <w:pStyle w:val="4"/>
      <w:isLgl/>
      <w:lvlText w:val="%1.%2"/>
      <w:lvlJc w:val="left"/>
      <w:pPr>
        <w:tabs>
          <w:tab w:val="left" w:pos="420"/>
        </w:tabs>
        <w:ind w:left="575" w:hanging="575"/>
      </w:pPr>
      <w:rPr>
        <w:rFonts w:hint="eastAsia" w:ascii="宋体" w:hAnsi="宋体" w:eastAsia="宋体" w:cs="宋体"/>
      </w:rPr>
    </w:lvl>
    <w:lvl w:ilvl="2" w:tentative="0">
      <w:start w:val="1"/>
      <w:numFmt w:val="decimal"/>
      <w:pStyle w:val="5"/>
      <w:isLgl/>
      <w:lvlText w:val="%1.%2.%3"/>
      <w:lvlJc w:val="left"/>
      <w:pPr>
        <w:ind w:left="833" w:leftChars="0" w:hanging="833" w:firstLineChars="0"/>
      </w:pPr>
      <w:rPr>
        <w:rFonts w:hint="eastAsia" w:ascii="宋体" w:hAnsi="宋体" w:eastAsia="宋体" w:cs="宋体"/>
      </w:rPr>
    </w:lvl>
    <w:lvl w:ilvl="3" w:tentative="0">
      <w:start w:val="1"/>
      <w:numFmt w:val="decimal"/>
      <w:pStyle w:val="6"/>
      <w:isLgl/>
      <w:lvlText w:val="%1.%2.%3.%4."/>
      <w:lvlJc w:val="left"/>
      <w:pPr>
        <w:ind w:left="864" w:hanging="864"/>
      </w:pPr>
      <w:rPr>
        <w:rFonts w:hint="eastAsia"/>
      </w:rPr>
    </w:lvl>
    <w:lvl w:ilvl="4" w:tentative="0">
      <w:start w:val="1"/>
      <w:numFmt w:val="decimal"/>
      <w:pStyle w:val="7"/>
      <w:isLgl/>
      <w:lvlText w:val="%1.%2.%3.%4.%5."/>
      <w:lvlJc w:val="left"/>
      <w:pPr>
        <w:ind w:left="1008" w:hanging="1008"/>
      </w:pPr>
      <w:rPr>
        <w:rFonts w:hint="eastAsia"/>
      </w:rPr>
    </w:lvl>
    <w:lvl w:ilvl="5" w:tentative="0">
      <w:start w:val="1"/>
      <w:numFmt w:val="decimal"/>
      <w:pStyle w:val="8"/>
      <w:isLgl/>
      <w:lvlText w:val="%1.%2.%3.%4.%5.%6."/>
      <w:lvlJc w:val="left"/>
      <w:pPr>
        <w:ind w:left="1151" w:hanging="1151"/>
      </w:pPr>
      <w:rPr>
        <w:rFonts w:hint="eastAsia"/>
      </w:rPr>
    </w:lvl>
    <w:lvl w:ilvl="6" w:tentative="0">
      <w:start w:val="1"/>
      <w:numFmt w:val="decimal"/>
      <w:pStyle w:val="9"/>
      <w:isLgl/>
      <w:lvlText w:val="%1.%2.%3.%4.%5.%6.%7."/>
      <w:lvlJc w:val="left"/>
      <w:pPr>
        <w:ind w:left="1296" w:hanging="1296"/>
      </w:pPr>
      <w:rPr>
        <w:rFonts w:hint="eastAsia"/>
      </w:rPr>
    </w:lvl>
    <w:lvl w:ilvl="7" w:tentative="0">
      <w:start w:val="1"/>
      <w:numFmt w:val="decimal"/>
      <w:pStyle w:val="10"/>
      <w:isLgl/>
      <w:lvlText w:val="%1.%2.%3.%4.%5.%6.%7.%8."/>
      <w:lvlJc w:val="left"/>
      <w:pPr>
        <w:ind w:left="1440" w:hanging="1440"/>
      </w:pPr>
      <w:rPr>
        <w:rFonts w:hint="eastAsia"/>
      </w:rPr>
    </w:lvl>
    <w:lvl w:ilvl="8" w:tentative="0">
      <w:start w:val="1"/>
      <w:numFmt w:val="decimal"/>
      <w:pStyle w:val="11"/>
      <w:isLgl/>
      <w:lvlText w:val="%1.%2.%3.%4.%5.%6.%7.%8.%9."/>
      <w:lvlJc w:val="left"/>
      <w:pPr>
        <w:ind w:left="1583" w:hanging="1583"/>
      </w:pPr>
      <w:rPr>
        <w:rFonts w:hint="eastAsia"/>
      </w:rPr>
    </w:lvl>
  </w:abstractNum>
  <w:abstractNum w:abstractNumId="4">
    <w:nsid w:val="DC9D61A1"/>
    <w:multiLevelType w:val="multilevel"/>
    <w:tmpl w:val="DC9D61A1"/>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69D6EC2"/>
    <w:multiLevelType w:val="multilevel"/>
    <w:tmpl w:val="569D6EC2"/>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FA9F76E"/>
    <w:multiLevelType w:val="multilevel"/>
    <w:tmpl w:val="5FA9F76E"/>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FDCE5E9"/>
    <w:multiLevelType w:val="multilevel"/>
    <w:tmpl w:val="5FDCE5E9"/>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2"/>
  </w:num>
  <w:num w:numId="3">
    <w:abstractNumId w:val="4"/>
  </w:num>
  <w:num w:numId="4">
    <w:abstractNumId w:val="5"/>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90"/>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78B236E4"/>
    <w:rsid w:val="001A6428"/>
    <w:rsid w:val="008A2738"/>
    <w:rsid w:val="00C61AEE"/>
    <w:rsid w:val="016519ED"/>
    <w:rsid w:val="01993FD6"/>
    <w:rsid w:val="01C92EFF"/>
    <w:rsid w:val="01D67EAB"/>
    <w:rsid w:val="01E97321"/>
    <w:rsid w:val="025A6DA7"/>
    <w:rsid w:val="02644ACE"/>
    <w:rsid w:val="026D5FC2"/>
    <w:rsid w:val="02707336"/>
    <w:rsid w:val="02AB0636"/>
    <w:rsid w:val="02F80881"/>
    <w:rsid w:val="033739F5"/>
    <w:rsid w:val="03377BF0"/>
    <w:rsid w:val="040344C3"/>
    <w:rsid w:val="049A3EE5"/>
    <w:rsid w:val="04CA4BB5"/>
    <w:rsid w:val="04DF0030"/>
    <w:rsid w:val="058805D0"/>
    <w:rsid w:val="05884AC3"/>
    <w:rsid w:val="05CB5F07"/>
    <w:rsid w:val="05F46DF6"/>
    <w:rsid w:val="064C693C"/>
    <w:rsid w:val="066C1F8B"/>
    <w:rsid w:val="06A150FE"/>
    <w:rsid w:val="06B57809"/>
    <w:rsid w:val="06BF1533"/>
    <w:rsid w:val="074245F9"/>
    <w:rsid w:val="0760504D"/>
    <w:rsid w:val="079668B7"/>
    <w:rsid w:val="08366D13"/>
    <w:rsid w:val="085D13B5"/>
    <w:rsid w:val="08657AB8"/>
    <w:rsid w:val="08945E89"/>
    <w:rsid w:val="08B11E84"/>
    <w:rsid w:val="091655D1"/>
    <w:rsid w:val="093740A1"/>
    <w:rsid w:val="09BB5BCC"/>
    <w:rsid w:val="09BF382C"/>
    <w:rsid w:val="0A65416C"/>
    <w:rsid w:val="0B375F8F"/>
    <w:rsid w:val="0B514627"/>
    <w:rsid w:val="0BB928C2"/>
    <w:rsid w:val="0BBA4D65"/>
    <w:rsid w:val="0BE706ED"/>
    <w:rsid w:val="0BEB7F35"/>
    <w:rsid w:val="0CBD67C8"/>
    <w:rsid w:val="0CE3541D"/>
    <w:rsid w:val="0CF40F86"/>
    <w:rsid w:val="0D14789D"/>
    <w:rsid w:val="0D225423"/>
    <w:rsid w:val="0D380D3F"/>
    <w:rsid w:val="0DB875C6"/>
    <w:rsid w:val="0E055BEC"/>
    <w:rsid w:val="0E2741A3"/>
    <w:rsid w:val="0E2F5460"/>
    <w:rsid w:val="0F155319"/>
    <w:rsid w:val="0F525587"/>
    <w:rsid w:val="0F7F41C8"/>
    <w:rsid w:val="102B2D19"/>
    <w:rsid w:val="10A12DA0"/>
    <w:rsid w:val="10AD4E23"/>
    <w:rsid w:val="114E320A"/>
    <w:rsid w:val="115019C2"/>
    <w:rsid w:val="11520F72"/>
    <w:rsid w:val="11595ECB"/>
    <w:rsid w:val="117A794E"/>
    <w:rsid w:val="12621206"/>
    <w:rsid w:val="12637FEF"/>
    <w:rsid w:val="128812A8"/>
    <w:rsid w:val="12C845D2"/>
    <w:rsid w:val="12EE0A5B"/>
    <w:rsid w:val="12F310B8"/>
    <w:rsid w:val="1303162E"/>
    <w:rsid w:val="132604F3"/>
    <w:rsid w:val="1336788D"/>
    <w:rsid w:val="13CC6B6E"/>
    <w:rsid w:val="141E2224"/>
    <w:rsid w:val="14471FBB"/>
    <w:rsid w:val="14DA716B"/>
    <w:rsid w:val="15170610"/>
    <w:rsid w:val="157A3F5A"/>
    <w:rsid w:val="15835095"/>
    <w:rsid w:val="16346FBF"/>
    <w:rsid w:val="16487643"/>
    <w:rsid w:val="172F3B96"/>
    <w:rsid w:val="17370A93"/>
    <w:rsid w:val="17B6703A"/>
    <w:rsid w:val="17C05B06"/>
    <w:rsid w:val="17E115D7"/>
    <w:rsid w:val="17F51C94"/>
    <w:rsid w:val="18785FB9"/>
    <w:rsid w:val="18BA0EDE"/>
    <w:rsid w:val="19F22CD1"/>
    <w:rsid w:val="1B445FE4"/>
    <w:rsid w:val="1BEE20BE"/>
    <w:rsid w:val="1C0511FA"/>
    <w:rsid w:val="1C4A1B3F"/>
    <w:rsid w:val="1C6C5911"/>
    <w:rsid w:val="1CA3053F"/>
    <w:rsid w:val="1CBA5358"/>
    <w:rsid w:val="1D6660A0"/>
    <w:rsid w:val="1DC8166F"/>
    <w:rsid w:val="1E4D5EA2"/>
    <w:rsid w:val="1EB66CE1"/>
    <w:rsid w:val="1EC46C87"/>
    <w:rsid w:val="1EE86F0A"/>
    <w:rsid w:val="1F2252EC"/>
    <w:rsid w:val="1F7229C9"/>
    <w:rsid w:val="1FE5702B"/>
    <w:rsid w:val="202F5F60"/>
    <w:rsid w:val="204602C1"/>
    <w:rsid w:val="20997487"/>
    <w:rsid w:val="22064C83"/>
    <w:rsid w:val="22164095"/>
    <w:rsid w:val="225F5B8E"/>
    <w:rsid w:val="22F93A8C"/>
    <w:rsid w:val="23D729E7"/>
    <w:rsid w:val="24261EA7"/>
    <w:rsid w:val="24540CD2"/>
    <w:rsid w:val="24996EA2"/>
    <w:rsid w:val="24A27F99"/>
    <w:rsid w:val="25C42F68"/>
    <w:rsid w:val="26753261"/>
    <w:rsid w:val="269F1099"/>
    <w:rsid w:val="271E3F5C"/>
    <w:rsid w:val="27434EF3"/>
    <w:rsid w:val="285F5832"/>
    <w:rsid w:val="287232B7"/>
    <w:rsid w:val="29154C2F"/>
    <w:rsid w:val="29172EEC"/>
    <w:rsid w:val="29235B3A"/>
    <w:rsid w:val="292437B2"/>
    <w:rsid w:val="2AB71C38"/>
    <w:rsid w:val="2ABB636F"/>
    <w:rsid w:val="2AC45B60"/>
    <w:rsid w:val="2B557277"/>
    <w:rsid w:val="2BCB5984"/>
    <w:rsid w:val="2C9921DB"/>
    <w:rsid w:val="2CB9409E"/>
    <w:rsid w:val="2D7A1034"/>
    <w:rsid w:val="2D825394"/>
    <w:rsid w:val="2DA24B51"/>
    <w:rsid w:val="2DD54680"/>
    <w:rsid w:val="2DE10445"/>
    <w:rsid w:val="2DFA09C5"/>
    <w:rsid w:val="2E5D21FC"/>
    <w:rsid w:val="2ED9575E"/>
    <w:rsid w:val="2F24038A"/>
    <w:rsid w:val="2F2507F1"/>
    <w:rsid w:val="2F27081C"/>
    <w:rsid w:val="300D659C"/>
    <w:rsid w:val="30473813"/>
    <w:rsid w:val="30994AEF"/>
    <w:rsid w:val="310A1392"/>
    <w:rsid w:val="31332561"/>
    <w:rsid w:val="313D458F"/>
    <w:rsid w:val="325D23A1"/>
    <w:rsid w:val="334447D4"/>
    <w:rsid w:val="33621EB8"/>
    <w:rsid w:val="33740094"/>
    <w:rsid w:val="33AA484A"/>
    <w:rsid w:val="34583831"/>
    <w:rsid w:val="3463107F"/>
    <w:rsid w:val="34781801"/>
    <w:rsid w:val="34F51A38"/>
    <w:rsid w:val="355412C6"/>
    <w:rsid w:val="35F63001"/>
    <w:rsid w:val="366A584F"/>
    <w:rsid w:val="3683146A"/>
    <w:rsid w:val="36D64F73"/>
    <w:rsid w:val="36F11025"/>
    <w:rsid w:val="37213589"/>
    <w:rsid w:val="37612E17"/>
    <w:rsid w:val="37907C8C"/>
    <w:rsid w:val="37A27ABA"/>
    <w:rsid w:val="37B77E66"/>
    <w:rsid w:val="37D0077B"/>
    <w:rsid w:val="38507CC5"/>
    <w:rsid w:val="38814854"/>
    <w:rsid w:val="391509CE"/>
    <w:rsid w:val="398B27E3"/>
    <w:rsid w:val="399B3711"/>
    <w:rsid w:val="39B5645A"/>
    <w:rsid w:val="3A1D45CF"/>
    <w:rsid w:val="3A6A4E00"/>
    <w:rsid w:val="3AA04502"/>
    <w:rsid w:val="3B826790"/>
    <w:rsid w:val="3BE94353"/>
    <w:rsid w:val="3CEF07DF"/>
    <w:rsid w:val="3CF74DE3"/>
    <w:rsid w:val="3D4D3A52"/>
    <w:rsid w:val="3DC207C2"/>
    <w:rsid w:val="3DD92D04"/>
    <w:rsid w:val="3E9677AE"/>
    <w:rsid w:val="3EBC2DD4"/>
    <w:rsid w:val="3ED26F1E"/>
    <w:rsid w:val="3EEF5EE4"/>
    <w:rsid w:val="3F093D11"/>
    <w:rsid w:val="3F9E2EF4"/>
    <w:rsid w:val="40503261"/>
    <w:rsid w:val="406341C0"/>
    <w:rsid w:val="40821ECB"/>
    <w:rsid w:val="40AC69BA"/>
    <w:rsid w:val="40E2300C"/>
    <w:rsid w:val="41E43209"/>
    <w:rsid w:val="41F66028"/>
    <w:rsid w:val="420C30E4"/>
    <w:rsid w:val="422E6E78"/>
    <w:rsid w:val="426C25E4"/>
    <w:rsid w:val="42B13934"/>
    <w:rsid w:val="42B44BCC"/>
    <w:rsid w:val="42CF3399"/>
    <w:rsid w:val="448E2DB4"/>
    <w:rsid w:val="44996699"/>
    <w:rsid w:val="44DF1658"/>
    <w:rsid w:val="455A17F2"/>
    <w:rsid w:val="458A240E"/>
    <w:rsid w:val="459812A8"/>
    <w:rsid w:val="45DB5CF9"/>
    <w:rsid w:val="46160BBC"/>
    <w:rsid w:val="46475912"/>
    <w:rsid w:val="46CA75A6"/>
    <w:rsid w:val="46EA652B"/>
    <w:rsid w:val="470E7B6C"/>
    <w:rsid w:val="48121F78"/>
    <w:rsid w:val="485960BF"/>
    <w:rsid w:val="486D7E1A"/>
    <w:rsid w:val="48BF1991"/>
    <w:rsid w:val="48DF5182"/>
    <w:rsid w:val="48E02C6C"/>
    <w:rsid w:val="48F92351"/>
    <w:rsid w:val="490B3A20"/>
    <w:rsid w:val="492A24C2"/>
    <w:rsid w:val="497475F9"/>
    <w:rsid w:val="49D1162D"/>
    <w:rsid w:val="49DF02FD"/>
    <w:rsid w:val="4A02012A"/>
    <w:rsid w:val="4B362A6E"/>
    <w:rsid w:val="4B5A4478"/>
    <w:rsid w:val="4B8B07CC"/>
    <w:rsid w:val="4BE72442"/>
    <w:rsid w:val="4C477BE0"/>
    <w:rsid w:val="4C49249F"/>
    <w:rsid w:val="4C811E19"/>
    <w:rsid w:val="4CB73418"/>
    <w:rsid w:val="4D532085"/>
    <w:rsid w:val="4D7C3C63"/>
    <w:rsid w:val="4DAA171B"/>
    <w:rsid w:val="4E154088"/>
    <w:rsid w:val="4E6D7955"/>
    <w:rsid w:val="4E914C14"/>
    <w:rsid w:val="4F3116AB"/>
    <w:rsid w:val="4F4C1D4F"/>
    <w:rsid w:val="4F4F46AB"/>
    <w:rsid w:val="4F795038"/>
    <w:rsid w:val="4F96578E"/>
    <w:rsid w:val="50326052"/>
    <w:rsid w:val="508F4619"/>
    <w:rsid w:val="50977FF8"/>
    <w:rsid w:val="510D1B4F"/>
    <w:rsid w:val="513F460A"/>
    <w:rsid w:val="51936894"/>
    <w:rsid w:val="51B8140F"/>
    <w:rsid w:val="51E535B2"/>
    <w:rsid w:val="524609DF"/>
    <w:rsid w:val="524F59DC"/>
    <w:rsid w:val="52675ECE"/>
    <w:rsid w:val="529F58A7"/>
    <w:rsid w:val="52FA58EC"/>
    <w:rsid w:val="53D50FCE"/>
    <w:rsid w:val="53D852B7"/>
    <w:rsid w:val="540D6A16"/>
    <w:rsid w:val="54186543"/>
    <w:rsid w:val="54BA5742"/>
    <w:rsid w:val="54C06D50"/>
    <w:rsid w:val="553C066D"/>
    <w:rsid w:val="55C25D48"/>
    <w:rsid w:val="56B95EAD"/>
    <w:rsid w:val="57060B39"/>
    <w:rsid w:val="5720228F"/>
    <w:rsid w:val="583B221A"/>
    <w:rsid w:val="5865469B"/>
    <w:rsid w:val="587368DE"/>
    <w:rsid w:val="59946335"/>
    <w:rsid w:val="599E1006"/>
    <w:rsid w:val="5A131264"/>
    <w:rsid w:val="5A295D82"/>
    <w:rsid w:val="5AB301E0"/>
    <w:rsid w:val="5AFC0BEC"/>
    <w:rsid w:val="5AFE08DF"/>
    <w:rsid w:val="5B1477D4"/>
    <w:rsid w:val="5B6A257E"/>
    <w:rsid w:val="5B7D3379"/>
    <w:rsid w:val="5BD63961"/>
    <w:rsid w:val="5BE7781C"/>
    <w:rsid w:val="5DC44D86"/>
    <w:rsid w:val="5DC82358"/>
    <w:rsid w:val="5DF23EF8"/>
    <w:rsid w:val="5F483205"/>
    <w:rsid w:val="5FB81FB6"/>
    <w:rsid w:val="5FDF06B8"/>
    <w:rsid w:val="601B2A12"/>
    <w:rsid w:val="60547BD1"/>
    <w:rsid w:val="60776426"/>
    <w:rsid w:val="60D863B7"/>
    <w:rsid w:val="60DC4E7C"/>
    <w:rsid w:val="60E46730"/>
    <w:rsid w:val="611B2710"/>
    <w:rsid w:val="614444B2"/>
    <w:rsid w:val="62015D60"/>
    <w:rsid w:val="624F2853"/>
    <w:rsid w:val="627658E4"/>
    <w:rsid w:val="64322884"/>
    <w:rsid w:val="6486032C"/>
    <w:rsid w:val="64910F5E"/>
    <w:rsid w:val="64CF6AEE"/>
    <w:rsid w:val="65B07C77"/>
    <w:rsid w:val="667F0D60"/>
    <w:rsid w:val="66812C27"/>
    <w:rsid w:val="66CD3CB3"/>
    <w:rsid w:val="66EE10C9"/>
    <w:rsid w:val="671715BA"/>
    <w:rsid w:val="6720709C"/>
    <w:rsid w:val="67573E35"/>
    <w:rsid w:val="67C6704D"/>
    <w:rsid w:val="681763D2"/>
    <w:rsid w:val="68420E49"/>
    <w:rsid w:val="68837AC6"/>
    <w:rsid w:val="68D50AD5"/>
    <w:rsid w:val="69077CF3"/>
    <w:rsid w:val="693C3B21"/>
    <w:rsid w:val="69677250"/>
    <w:rsid w:val="69E949A3"/>
    <w:rsid w:val="6B5A5D8D"/>
    <w:rsid w:val="6BE157FF"/>
    <w:rsid w:val="6C0B71D2"/>
    <w:rsid w:val="6C6454D9"/>
    <w:rsid w:val="6C6E34BB"/>
    <w:rsid w:val="6CD123AC"/>
    <w:rsid w:val="6D050ADB"/>
    <w:rsid w:val="6D5F31A0"/>
    <w:rsid w:val="6D976FEF"/>
    <w:rsid w:val="6DDE6EA2"/>
    <w:rsid w:val="6E9351C1"/>
    <w:rsid w:val="6F250974"/>
    <w:rsid w:val="6F425277"/>
    <w:rsid w:val="6F457191"/>
    <w:rsid w:val="6F6B355A"/>
    <w:rsid w:val="7008444B"/>
    <w:rsid w:val="70334C0E"/>
    <w:rsid w:val="7044032E"/>
    <w:rsid w:val="70A80AE8"/>
    <w:rsid w:val="715C1FAC"/>
    <w:rsid w:val="716A7732"/>
    <w:rsid w:val="723E5B00"/>
    <w:rsid w:val="72AF4744"/>
    <w:rsid w:val="73000A7B"/>
    <w:rsid w:val="73A525A7"/>
    <w:rsid w:val="73CF0E5E"/>
    <w:rsid w:val="73DC61E0"/>
    <w:rsid w:val="73FC653F"/>
    <w:rsid w:val="7447227F"/>
    <w:rsid w:val="7479295D"/>
    <w:rsid w:val="74AB408C"/>
    <w:rsid w:val="74DC704C"/>
    <w:rsid w:val="74EB508F"/>
    <w:rsid w:val="74F21DB9"/>
    <w:rsid w:val="75130AC0"/>
    <w:rsid w:val="755C426C"/>
    <w:rsid w:val="75B754E7"/>
    <w:rsid w:val="75C84D63"/>
    <w:rsid w:val="75DE5FD3"/>
    <w:rsid w:val="76040CA7"/>
    <w:rsid w:val="76AF189E"/>
    <w:rsid w:val="773D2B41"/>
    <w:rsid w:val="776C0048"/>
    <w:rsid w:val="77B35E42"/>
    <w:rsid w:val="77B94CA8"/>
    <w:rsid w:val="77E86264"/>
    <w:rsid w:val="781804CC"/>
    <w:rsid w:val="78225D97"/>
    <w:rsid w:val="787A5666"/>
    <w:rsid w:val="78B236E4"/>
    <w:rsid w:val="78C6556E"/>
    <w:rsid w:val="78E06A82"/>
    <w:rsid w:val="790E7842"/>
    <w:rsid w:val="790F44C2"/>
    <w:rsid w:val="793F0A11"/>
    <w:rsid w:val="79DD2BDF"/>
    <w:rsid w:val="7A485CA4"/>
    <w:rsid w:val="7A602205"/>
    <w:rsid w:val="7ABF68AF"/>
    <w:rsid w:val="7B6902D6"/>
    <w:rsid w:val="7BC6610D"/>
    <w:rsid w:val="7BD134CC"/>
    <w:rsid w:val="7C333EDD"/>
    <w:rsid w:val="7C6C243B"/>
    <w:rsid w:val="7C977CED"/>
    <w:rsid w:val="7C9B5943"/>
    <w:rsid w:val="7D521DBC"/>
    <w:rsid w:val="7E626F25"/>
    <w:rsid w:val="7E762947"/>
    <w:rsid w:val="7E7B28C7"/>
    <w:rsid w:val="7E7F226F"/>
    <w:rsid w:val="7E85156B"/>
    <w:rsid w:val="7E9569B2"/>
    <w:rsid w:val="7F643B8F"/>
    <w:rsid w:val="7F7D54FA"/>
    <w:rsid w:val="7FBE3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8"/>
      <w:szCs w:val="24"/>
      <w:lang w:val="en-US" w:eastAsia="zh-CN" w:bidi="ar-SA"/>
    </w:rPr>
  </w:style>
  <w:style w:type="paragraph" w:styleId="2">
    <w:name w:val="heading 1"/>
    <w:basedOn w:val="3"/>
    <w:next w:val="1"/>
    <w:qFormat/>
    <w:uiPriority w:val="0"/>
    <w:pPr>
      <w:keepNext/>
      <w:keepLines/>
      <w:numPr>
        <w:ilvl w:val="0"/>
        <w:numId w:val="1"/>
      </w:numPr>
      <w:spacing w:before="100" w:beforeLines="0" w:beforeAutospacing="0" w:after="90" w:afterLines="0" w:afterAutospacing="0" w:line="240" w:lineRule="auto"/>
      <w:ind w:left="432" w:hanging="432"/>
      <w:jc w:val="left"/>
      <w:outlineLvl w:val="0"/>
    </w:pPr>
    <w:rPr>
      <w:b/>
      <w:kern w:val="44"/>
      <w:sz w:val="32"/>
    </w:rPr>
  </w:style>
  <w:style w:type="paragraph" w:styleId="4">
    <w:name w:val="heading 2"/>
    <w:basedOn w:val="1"/>
    <w:next w:val="1"/>
    <w:unhideWhenUsed/>
    <w:qFormat/>
    <w:uiPriority w:val="0"/>
    <w:pPr>
      <w:keepNext/>
      <w:keepLines/>
      <w:numPr>
        <w:ilvl w:val="1"/>
        <w:numId w:val="1"/>
      </w:numPr>
      <w:spacing w:before="140" w:beforeLines="0" w:beforeAutospacing="0" w:after="140" w:afterLines="0" w:afterAutospacing="0" w:line="240" w:lineRule="auto"/>
      <w:ind w:left="575" w:leftChars="0" w:hanging="575"/>
      <w:outlineLvl w:val="1"/>
    </w:pPr>
    <w:rPr>
      <w:rFonts w:ascii="Arial" w:hAnsi="Arial"/>
      <w:b/>
    </w:rPr>
  </w:style>
  <w:style w:type="paragraph" w:styleId="5">
    <w:name w:val="heading 3"/>
    <w:basedOn w:val="1"/>
    <w:next w:val="1"/>
    <w:unhideWhenUsed/>
    <w:qFormat/>
    <w:uiPriority w:val="0"/>
    <w:pPr>
      <w:keepNext/>
      <w:keepLines/>
      <w:numPr>
        <w:ilvl w:val="2"/>
        <w:numId w:val="1"/>
      </w:numPr>
      <w:spacing w:before="260" w:beforeLines="0" w:beforeAutospacing="0" w:after="260" w:afterLines="0" w:afterAutospacing="0" w:line="240" w:lineRule="auto"/>
      <w:ind w:left="833" w:leftChars="0" w:hanging="833"/>
      <w:outlineLvl w:val="2"/>
    </w:pPr>
    <w:rPr>
      <w:b/>
      <w:sz w:val="28"/>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3">
    <w:name w:val="toc 1"/>
    <w:basedOn w:val="1"/>
    <w:next w:val="1"/>
    <w:qFormat/>
    <w:uiPriority w:val="0"/>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Body Text Indent 3"/>
    <w:basedOn w:val="1"/>
    <w:qFormat/>
    <w:uiPriority w:val="0"/>
    <w:pPr>
      <w:spacing w:after="120"/>
      <w:ind w:left="420" w:leftChars="200"/>
    </w:pPr>
    <w:rPr>
      <w:rFonts w:ascii="Times New Roman" w:hAnsi="Times New Roman"/>
      <w:sz w:val="16"/>
      <w:szCs w:val="20"/>
    </w:rPr>
  </w:style>
  <w:style w:type="paragraph" w:styleId="16">
    <w:name w:val="toc 2"/>
    <w:basedOn w:val="1"/>
    <w:next w:val="1"/>
    <w:qFormat/>
    <w:uiPriority w:val="0"/>
    <w:pPr>
      <w:ind w:left="420" w:leftChars="2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annotation reference"/>
    <w:basedOn w:val="19"/>
    <w:semiHidden/>
    <w:unhideWhenUsed/>
    <w:qFormat/>
    <w:uiPriority w:val="99"/>
    <w:rPr>
      <w:sz w:val="21"/>
      <w:szCs w:val="21"/>
    </w:rPr>
  </w:style>
  <w:style w:type="paragraph" w:customStyle="1" w:styleId="22">
    <w:name w:val="WPSOffice手动目录 1"/>
    <w:qFormat/>
    <w:uiPriority w:val="0"/>
    <w:pPr>
      <w:ind w:leftChars="0"/>
    </w:pPr>
    <w:rPr>
      <w:rFonts w:eastAsia="微软雅黑" w:asciiTheme="minorHAnsi" w:hAnsiTheme="minorHAnsi" w:cstheme="minorBidi"/>
      <w:sz w:val="20"/>
      <w:szCs w:val="20"/>
    </w:rPr>
  </w:style>
  <w:style w:type="paragraph" w:customStyle="1" w:styleId="23">
    <w:name w:val="WPSOffice手动目录 2"/>
    <w:qFormat/>
    <w:uiPriority w:val="0"/>
    <w:pPr>
      <w:ind w:leftChars="200"/>
    </w:pPr>
    <w:rPr>
      <w:rFonts w:eastAsia="微软雅黑" w:asciiTheme="minorHAnsi" w:hAnsiTheme="minorHAnsi" w:cstheme="minorBidi"/>
      <w:sz w:val="20"/>
      <w:szCs w:val="20"/>
    </w:rPr>
  </w:style>
  <w:style w:type="paragraph" w:customStyle="1" w:styleId="24">
    <w:name w:val="WPSOffice手动目录 3"/>
    <w:qFormat/>
    <w:uiPriority w:val="0"/>
    <w:pPr>
      <w:ind w:leftChars="400"/>
    </w:pPr>
    <w:rPr>
      <w:rFonts w:eastAsia="微软雅黑" w:asciiTheme="minorHAnsi" w:hAnsiTheme="minorHAnsi" w:cstheme="minorBidi"/>
      <w:sz w:val="20"/>
      <w:szCs w:val="20"/>
    </w:rPr>
  </w:style>
  <w:style w:type="paragraph"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3761</Words>
  <Characters>4015</Characters>
  <Lines>0</Lines>
  <Paragraphs>0</Paragraphs>
  <TotalTime>1</TotalTime>
  <ScaleCrop>false</ScaleCrop>
  <LinksUpToDate>false</LinksUpToDate>
  <CharactersWithSpaces>4072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2020-09-15T08:16:00Z</dcterms:created>
  <dc:creator>WPS_1591149877</dc:creator>
  <cp:lastModifiedBy>wuhui</cp:lastModifiedBy>
  <cp:lastPrinted>2022-11-24T02:38:00Z</cp:lastPrinted>
  <dcterms:modified xsi:type="dcterms:W3CDTF">2023-04-18T03:56:29Z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453D180730F34812B983CE876C5B6AD8</vt:lpwstr>
  </property>
</Properties>
</file>