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按键板测试方案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按键板测试方案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_Toc8062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_Toc8062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_Toc29938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_Toc29938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_Toc23405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_Toc23405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_Toc1960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_Toc1960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_Toc26472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_Toc26472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_Toc20611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_Toc20611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_Toc6929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_Toc6929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_Toc3321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测试设备</w:t>
      </w:r>
      <w:r>
        <w:tab/>
      </w:r>
      <w:r>
        <w:fldChar w:fldCharType="begin"/>
      </w:r>
      <w:r>
        <w:instrText xml:space="preserve"> PAGEREF _Toc3321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_Toc22776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_Toc22776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_Toc3206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2.4.1. </w:t>
      </w:r>
      <w:r>
        <w:rPr>
          <w:rFonts w:hint="eastAsia"/>
          <w:lang w:val="en-US" w:eastAsia="zh-CN"/>
        </w:rPr>
        <w:t>按键功能测试</w:t>
      </w:r>
      <w:r>
        <w:tab/>
      </w:r>
      <w:r>
        <w:fldChar w:fldCharType="begin"/>
      </w:r>
      <w:r>
        <w:instrText xml:space="preserve"> PAGEREF _Toc3206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_Toc29998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机械耐久性测试</w:t>
      </w:r>
      <w:r>
        <w:tab/>
      </w:r>
      <w:r>
        <w:fldChar w:fldCharType="begin"/>
      </w:r>
      <w:r>
        <w:instrText xml:space="preserve"> PAGEREF _Toc29998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8062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29938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验证按键板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8年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工作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年限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23405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MS001.06.004ZZ-按键板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8433"/>
      <w:bookmarkStart w:id="4" w:name="_Toc1960"/>
      <w:bookmarkStart w:id="5" w:name="_Toc29698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需求说明书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K2-1817UQ-A4SW-01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数据手册》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6472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1148"/>
      <w:bookmarkStart w:id="8" w:name="_Toc2744"/>
      <w:bookmarkStart w:id="9" w:name="_Toc20611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按键板是MS-001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控制通道升降的控制开关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是否能正常进行通道升降功能，根据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按键板上按键存在一定风险，会造成按键常开，从而导致延误手术进程的危险。本测试方案主要验证按键板上按键是否满足系统长期使用寿命要求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2345"/>
      <w:bookmarkStart w:id="11" w:name="_Toc6929"/>
      <w:bookmarkStart w:id="12" w:name="_Toc27413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  <w:bookmarkStart w:id="18" w:name="_GoBack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" w:name="_Toc3321"/>
      <w:r>
        <w:rPr>
          <w:rFonts w:hint="eastAsia"/>
          <w:lang w:val="en-US" w:eastAsia="zh-CN"/>
        </w:rPr>
        <w:t>测试设备</w:t>
      </w:r>
      <w:bookmarkEnd w:id="1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自动按压测试工装、万用表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4" w:name="_Toc22776"/>
      <w:bookmarkStart w:id="15" w:name="_Toc9303"/>
      <w:r>
        <w:rPr>
          <w:rFonts w:hint="eastAsia"/>
          <w:lang w:val="en-US" w:eastAsia="zh-CN"/>
        </w:rPr>
        <w:t>测试内容</w:t>
      </w:r>
      <w:bookmarkEnd w:id="14"/>
      <w:bookmarkEnd w:id="15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6" w:name="_Toc3206"/>
      <w:r>
        <w:rPr>
          <w:rFonts w:hint="eastAsia"/>
          <w:lang w:val="en-US" w:eastAsia="zh-CN"/>
        </w:rPr>
        <w:t>按键功能测试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使用万用表引脚分别连接J1接口1、2引脚，测试按键按下和弹起功能是否正常；然后使用万用表引脚分别连接J1接口3、4引脚，测试按键按下和弹起功能是否正常，确定K1、K2按键功能正常。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7" w:name="_Toc29998"/>
      <w:r>
        <w:rPr>
          <w:rFonts w:hint="eastAsia"/>
          <w:lang w:val="en-US" w:eastAsia="zh-CN"/>
        </w:rPr>
        <w:t>机械耐久性测试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按照MS-001-B手术导引系统日常工作频率，一般情况下每日骨科手术在5台以下，每次手术需要定位操作在6次以下，MS-001-B手术导引系统设计工作年限为8年，那么通道升降次数为5*6*365*8=87600，对应的，按键板上的按键K1、K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也需要分别按压</w:t>
      </w:r>
      <w:r>
        <w:rPr>
          <w:rFonts w:hint="eastAsia"/>
          <w:lang w:val="en-US" w:eastAsia="zh-CN"/>
        </w:rPr>
        <w:t>87600次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以完成</w:t>
      </w:r>
      <w:r>
        <w:rPr>
          <w:rFonts w:hint="eastAsia"/>
          <w:lang w:val="en-US" w:eastAsia="zh-CN"/>
        </w:rPr>
        <w:t>通道升降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控制功能。</w:t>
      </w:r>
      <w:r>
        <w:rPr>
          <w:rFonts w:hint="eastAsia"/>
          <w:lang w:val="en-US" w:eastAsia="zh-CN"/>
        </w:rPr>
        <w:t>所以制作测试工装，对按键板上的按键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进行</w:t>
      </w:r>
      <w:r>
        <w:rPr>
          <w:rFonts w:hint="eastAsia"/>
          <w:lang w:val="en-US" w:eastAsia="zh-CN"/>
        </w:rPr>
        <w:t>87600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按压测试，完成后进行2.3.1功能测试，查看其基本功能是否正常</w:t>
      </w:r>
      <w:r>
        <w:rPr>
          <w:rFonts w:hint="eastAsia"/>
          <w:lang w:val="en-US" w:eastAsia="zh-CN"/>
        </w:rPr>
        <w:t>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72311BEE"/>
    <w:multiLevelType w:val="multilevel"/>
    <w:tmpl w:val="72311B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2607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3326971"/>
    <w:rsid w:val="03411B63"/>
    <w:rsid w:val="03464CD8"/>
    <w:rsid w:val="03DC63F8"/>
    <w:rsid w:val="047936FC"/>
    <w:rsid w:val="04B675CD"/>
    <w:rsid w:val="05072E07"/>
    <w:rsid w:val="05C65424"/>
    <w:rsid w:val="06856B77"/>
    <w:rsid w:val="068D3B56"/>
    <w:rsid w:val="0791088C"/>
    <w:rsid w:val="07BA2EB9"/>
    <w:rsid w:val="08842EBA"/>
    <w:rsid w:val="08E47B5E"/>
    <w:rsid w:val="09383BDF"/>
    <w:rsid w:val="0964237C"/>
    <w:rsid w:val="0A5C69A3"/>
    <w:rsid w:val="0B6C79D5"/>
    <w:rsid w:val="0BCB1EE5"/>
    <w:rsid w:val="0BE6284E"/>
    <w:rsid w:val="0C8E198F"/>
    <w:rsid w:val="0CBA5453"/>
    <w:rsid w:val="0CDC09E4"/>
    <w:rsid w:val="0E1349C9"/>
    <w:rsid w:val="0E7B35D5"/>
    <w:rsid w:val="0E7C438D"/>
    <w:rsid w:val="0EE50E4B"/>
    <w:rsid w:val="0F1B763C"/>
    <w:rsid w:val="0F781D93"/>
    <w:rsid w:val="0FBB1C1F"/>
    <w:rsid w:val="11673533"/>
    <w:rsid w:val="120D2650"/>
    <w:rsid w:val="12261940"/>
    <w:rsid w:val="12BE198C"/>
    <w:rsid w:val="12E86988"/>
    <w:rsid w:val="13291624"/>
    <w:rsid w:val="13302955"/>
    <w:rsid w:val="1359264A"/>
    <w:rsid w:val="13C04B8D"/>
    <w:rsid w:val="14202994"/>
    <w:rsid w:val="14C764EB"/>
    <w:rsid w:val="15840771"/>
    <w:rsid w:val="158C144B"/>
    <w:rsid w:val="161C11D8"/>
    <w:rsid w:val="16444FD4"/>
    <w:rsid w:val="16A371F1"/>
    <w:rsid w:val="16BC7EF5"/>
    <w:rsid w:val="16F119F4"/>
    <w:rsid w:val="17291566"/>
    <w:rsid w:val="17F87FDD"/>
    <w:rsid w:val="1858237C"/>
    <w:rsid w:val="18922C12"/>
    <w:rsid w:val="189C1262"/>
    <w:rsid w:val="19CE2367"/>
    <w:rsid w:val="1A0327AB"/>
    <w:rsid w:val="1A5D29FA"/>
    <w:rsid w:val="1C5707D6"/>
    <w:rsid w:val="1CEF14DD"/>
    <w:rsid w:val="1CFC3931"/>
    <w:rsid w:val="1DF054F7"/>
    <w:rsid w:val="1DF87754"/>
    <w:rsid w:val="1E6E7D2D"/>
    <w:rsid w:val="1E853548"/>
    <w:rsid w:val="1EDE4B3C"/>
    <w:rsid w:val="1EFA772E"/>
    <w:rsid w:val="1F886264"/>
    <w:rsid w:val="1FBB56A4"/>
    <w:rsid w:val="1FE1234A"/>
    <w:rsid w:val="202979F0"/>
    <w:rsid w:val="202A5CB0"/>
    <w:rsid w:val="208E7074"/>
    <w:rsid w:val="210A410B"/>
    <w:rsid w:val="21222C3B"/>
    <w:rsid w:val="213F76AE"/>
    <w:rsid w:val="217C0CE0"/>
    <w:rsid w:val="21932F09"/>
    <w:rsid w:val="21A70C18"/>
    <w:rsid w:val="21D20A36"/>
    <w:rsid w:val="21D656EA"/>
    <w:rsid w:val="22156154"/>
    <w:rsid w:val="23241DE5"/>
    <w:rsid w:val="237C2FBE"/>
    <w:rsid w:val="2439695D"/>
    <w:rsid w:val="245C5302"/>
    <w:rsid w:val="24AC6E16"/>
    <w:rsid w:val="24D11E65"/>
    <w:rsid w:val="25877463"/>
    <w:rsid w:val="26612F1B"/>
    <w:rsid w:val="2690137A"/>
    <w:rsid w:val="26AB747B"/>
    <w:rsid w:val="273B2347"/>
    <w:rsid w:val="27D11D51"/>
    <w:rsid w:val="28836663"/>
    <w:rsid w:val="28D21BC4"/>
    <w:rsid w:val="29423709"/>
    <w:rsid w:val="297C0475"/>
    <w:rsid w:val="29DF2214"/>
    <w:rsid w:val="29EB7226"/>
    <w:rsid w:val="29F04081"/>
    <w:rsid w:val="2A5A5432"/>
    <w:rsid w:val="2AAD0877"/>
    <w:rsid w:val="2ABA12E9"/>
    <w:rsid w:val="2AF947D7"/>
    <w:rsid w:val="2B3F692B"/>
    <w:rsid w:val="2B81513B"/>
    <w:rsid w:val="2C1E2157"/>
    <w:rsid w:val="2C700036"/>
    <w:rsid w:val="2CC739FB"/>
    <w:rsid w:val="2CF50F45"/>
    <w:rsid w:val="2D085487"/>
    <w:rsid w:val="2D1648F9"/>
    <w:rsid w:val="2E0D0FB1"/>
    <w:rsid w:val="2EE96C29"/>
    <w:rsid w:val="2F4377AB"/>
    <w:rsid w:val="2F6958BF"/>
    <w:rsid w:val="2F755BEE"/>
    <w:rsid w:val="2FA904FF"/>
    <w:rsid w:val="2FB56A31"/>
    <w:rsid w:val="2FD15513"/>
    <w:rsid w:val="30772250"/>
    <w:rsid w:val="30EF4239"/>
    <w:rsid w:val="31C14B20"/>
    <w:rsid w:val="31E30FC7"/>
    <w:rsid w:val="31F52ADD"/>
    <w:rsid w:val="32734764"/>
    <w:rsid w:val="32AB2E20"/>
    <w:rsid w:val="32D2262F"/>
    <w:rsid w:val="34B45B20"/>
    <w:rsid w:val="35363BF7"/>
    <w:rsid w:val="35A42B41"/>
    <w:rsid w:val="36903CB5"/>
    <w:rsid w:val="36E34D6C"/>
    <w:rsid w:val="37636AF0"/>
    <w:rsid w:val="37D334BD"/>
    <w:rsid w:val="387F4B11"/>
    <w:rsid w:val="38BB5C4A"/>
    <w:rsid w:val="38BB6A49"/>
    <w:rsid w:val="38DA36FB"/>
    <w:rsid w:val="392C0D79"/>
    <w:rsid w:val="394B5A2C"/>
    <w:rsid w:val="39581839"/>
    <w:rsid w:val="39732C58"/>
    <w:rsid w:val="397A4CD3"/>
    <w:rsid w:val="3ACF5B21"/>
    <w:rsid w:val="3AE211A3"/>
    <w:rsid w:val="3B766081"/>
    <w:rsid w:val="3BC264E4"/>
    <w:rsid w:val="3C547DBA"/>
    <w:rsid w:val="3CAB7C27"/>
    <w:rsid w:val="3CBE695C"/>
    <w:rsid w:val="3D3324C3"/>
    <w:rsid w:val="3E3D5255"/>
    <w:rsid w:val="3E3F74B1"/>
    <w:rsid w:val="3E580550"/>
    <w:rsid w:val="3E5E45A8"/>
    <w:rsid w:val="3E68010D"/>
    <w:rsid w:val="3EBE4AC0"/>
    <w:rsid w:val="3F071D45"/>
    <w:rsid w:val="3F9705DF"/>
    <w:rsid w:val="3F9B06D8"/>
    <w:rsid w:val="3FA30D55"/>
    <w:rsid w:val="40322BB3"/>
    <w:rsid w:val="40995428"/>
    <w:rsid w:val="409B762D"/>
    <w:rsid w:val="40DE464C"/>
    <w:rsid w:val="41D67077"/>
    <w:rsid w:val="43A053BD"/>
    <w:rsid w:val="44190B9C"/>
    <w:rsid w:val="45006471"/>
    <w:rsid w:val="45013B68"/>
    <w:rsid w:val="45170D3A"/>
    <w:rsid w:val="451A30BF"/>
    <w:rsid w:val="45275307"/>
    <w:rsid w:val="45740EDB"/>
    <w:rsid w:val="459A23F9"/>
    <w:rsid w:val="46591DBE"/>
    <w:rsid w:val="468B6F34"/>
    <w:rsid w:val="46BF0E7A"/>
    <w:rsid w:val="46E207A3"/>
    <w:rsid w:val="4714323A"/>
    <w:rsid w:val="47234D70"/>
    <w:rsid w:val="47E05224"/>
    <w:rsid w:val="47FB1DA3"/>
    <w:rsid w:val="480C5160"/>
    <w:rsid w:val="48A65BB4"/>
    <w:rsid w:val="48BA7D6A"/>
    <w:rsid w:val="48D622EC"/>
    <w:rsid w:val="49722CA6"/>
    <w:rsid w:val="4A8543F7"/>
    <w:rsid w:val="4A973654"/>
    <w:rsid w:val="4ABE24F7"/>
    <w:rsid w:val="4ACA5C63"/>
    <w:rsid w:val="4AD53E5C"/>
    <w:rsid w:val="4B4F4775"/>
    <w:rsid w:val="4B6D6660"/>
    <w:rsid w:val="4B74404D"/>
    <w:rsid w:val="4B877A94"/>
    <w:rsid w:val="4C0773E1"/>
    <w:rsid w:val="4C815570"/>
    <w:rsid w:val="4CA31FA5"/>
    <w:rsid w:val="4D164815"/>
    <w:rsid w:val="4DC10EE5"/>
    <w:rsid w:val="4E17392C"/>
    <w:rsid w:val="4E71637E"/>
    <w:rsid w:val="4ECE31EE"/>
    <w:rsid w:val="502620F5"/>
    <w:rsid w:val="505C6252"/>
    <w:rsid w:val="505F6CF7"/>
    <w:rsid w:val="51114EEF"/>
    <w:rsid w:val="51A40068"/>
    <w:rsid w:val="51D00B5A"/>
    <w:rsid w:val="52E83E40"/>
    <w:rsid w:val="53282999"/>
    <w:rsid w:val="539A5CD9"/>
    <w:rsid w:val="53C00E8A"/>
    <w:rsid w:val="53F06ED2"/>
    <w:rsid w:val="53FB1593"/>
    <w:rsid w:val="543845B3"/>
    <w:rsid w:val="54F44C64"/>
    <w:rsid w:val="552D5FC7"/>
    <w:rsid w:val="55FD55D0"/>
    <w:rsid w:val="5609140E"/>
    <w:rsid w:val="56872F86"/>
    <w:rsid w:val="5690091A"/>
    <w:rsid w:val="576A2D00"/>
    <w:rsid w:val="576F04BC"/>
    <w:rsid w:val="57CA1460"/>
    <w:rsid w:val="57D15DB3"/>
    <w:rsid w:val="57D15EB0"/>
    <w:rsid w:val="582763B9"/>
    <w:rsid w:val="58DB471F"/>
    <w:rsid w:val="59615378"/>
    <w:rsid w:val="5991247C"/>
    <w:rsid w:val="59B4591A"/>
    <w:rsid w:val="59EF7A22"/>
    <w:rsid w:val="5A4B619A"/>
    <w:rsid w:val="5A697F8F"/>
    <w:rsid w:val="5AB855E5"/>
    <w:rsid w:val="5AEB64B7"/>
    <w:rsid w:val="5B886B1C"/>
    <w:rsid w:val="5C365608"/>
    <w:rsid w:val="5C7663A1"/>
    <w:rsid w:val="5CC85020"/>
    <w:rsid w:val="5D5521AD"/>
    <w:rsid w:val="5D5B198B"/>
    <w:rsid w:val="5D7C7B5A"/>
    <w:rsid w:val="5D9A1BC1"/>
    <w:rsid w:val="5DC52716"/>
    <w:rsid w:val="5E0065D6"/>
    <w:rsid w:val="5EAE265D"/>
    <w:rsid w:val="5EBF5418"/>
    <w:rsid w:val="5EC141AC"/>
    <w:rsid w:val="5F7679E3"/>
    <w:rsid w:val="5FA6729F"/>
    <w:rsid w:val="62505DB8"/>
    <w:rsid w:val="627834B1"/>
    <w:rsid w:val="62B8223B"/>
    <w:rsid w:val="62D13AE3"/>
    <w:rsid w:val="633F4274"/>
    <w:rsid w:val="63BD7C10"/>
    <w:rsid w:val="63D61664"/>
    <w:rsid w:val="640219D3"/>
    <w:rsid w:val="649E4B21"/>
    <w:rsid w:val="651728C8"/>
    <w:rsid w:val="6520607E"/>
    <w:rsid w:val="65DB13DF"/>
    <w:rsid w:val="66336C28"/>
    <w:rsid w:val="6636079B"/>
    <w:rsid w:val="663C7D18"/>
    <w:rsid w:val="666E3CBE"/>
    <w:rsid w:val="67C4324C"/>
    <w:rsid w:val="67E37932"/>
    <w:rsid w:val="684412BF"/>
    <w:rsid w:val="68B1799F"/>
    <w:rsid w:val="68CB4B42"/>
    <w:rsid w:val="68FB5B55"/>
    <w:rsid w:val="69890277"/>
    <w:rsid w:val="69A407FA"/>
    <w:rsid w:val="69A72AA1"/>
    <w:rsid w:val="69C021D8"/>
    <w:rsid w:val="6A7A30FE"/>
    <w:rsid w:val="6AE91CC2"/>
    <w:rsid w:val="6AED31A3"/>
    <w:rsid w:val="6AF27491"/>
    <w:rsid w:val="6B112BF1"/>
    <w:rsid w:val="6B5C5D3C"/>
    <w:rsid w:val="6C151433"/>
    <w:rsid w:val="6C724E43"/>
    <w:rsid w:val="6D1278E4"/>
    <w:rsid w:val="6D51004E"/>
    <w:rsid w:val="6D8919B0"/>
    <w:rsid w:val="6DB6633D"/>
    <w:rsid w:val="6DB92067"/>
    <w:rsid w:val="6E8E74BF"/>
    <w:rsid w:val="6F0033CF"/>
    <w:rsid w:val="6F2479BB"/>
    <w:rsid w:val="6F305F17"/>
    <w:rsid w:val="6F72611D"/>
    <w:rsid w:val="6F82755C"/>
    <w:rsid w:val="701B7484"/>
    <w:rsid w:val="701C4862"/>
    <w:rsid w:val="70682E70"/>
    <w:rsid w:val="70695FCF"/>
    <w:rsid w:val="70F669E1"/>
    <w:rsid w:val="7140607A"/>
    <w:rsid w:val="71891EB9"/>
    <w:rsid w:val="71A66178"/>
    <w:rsid w:val="71B15CB9"/>
    <w:rsid w:val="71E91755"/>
    <w:rsid w:val="722B4AF0"/>
    <w:rsid w:val="72D40070"/>
    <w:rsid w:val="73A32522"/>
    <w:rsid w:val="73A77581"/>
    <w:rsid w:val="73FD3E65"/>
    <w:rsid w:val="74FE116F"/>
    <w:rsid w:val="76004C91"/>
    <w:rsid w:val="764F5CB2"/>
    <w:rsid w:val="76E0667F"/>
    <w:rsid w:val="77957652"/>
    <w:rsid w:val="77C06F6A"/>
    <w:rsid w:val="786020ED"/>
    <w:rsid w:val="7871522C"/>
    <w:rsid w:val="78B752CC"/>
    <w:rsid w:val="78C74BC3"/>
    <w:rsid w:val="78FD5394"/>
    <w:rsid w:val="791A065E"/>
    <w:rsid w:val="791B4433"/>
    <w:rsid w:val="7A295F71"/>
    <w:rsid w:val="7A4D1663"/>
    <w:rsid w:val="7AA4324D"/>
    <w:rsid w:val="7AA63CB3"/>
    <w:rsid w:val="7B1B4009"/>
    <w:rsid w:val="7C3E777C"/>
    <w:rsid w:val="7C8F30E4"/>
    <w:rsid w:val="7CB54C32"/>
    <w:rsid w:val="7CBA56DC"/>
    <w:rsid w:val="7CC112A6"/>
    <w:rsid w:val="7D984CD3"/>
    <w:rsid w:val="7E443C37"/>
    <w:rsid w:val="7EAE1A46"/>
    <w:rsid w:val="7F527666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626</Words>
  <Characters>784</Characters>
  <Lines>3</Lines>
  <Paragraphs>1</Paragraphs>
  <TotalTime>0</TotalTime>
  <ScaleCrop>false</ScaleCrop>
  <LinksUpToDate>false</LinksUpToDate>
  <CharactersWithSpaces>809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2022-12-06T03:18:21Z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