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jc w:val="center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168910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top:13.3pt;height:60.6pt;width:370.6pt;mso-position-horizontal:center;z-index:251659264;mso-width-relative:page;mso-height-relative:page;" filled="f" stroked="f" coordsize="21600,21600" o:gfxdata="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WzVPLYAAAABwEAAA8AAAAAAAAAAQAgAAAAIgAAAGRycy9kb3ducmV2LnhtbFBLAQIUABQAAAAI&#10;AIdO4kBTRUI+tAEAAFcDAAAOAAAAAAAAAAEAIAAAACcBAABkcnMvZTJvRG9jLnhtbFBLBQYAAAAA&#10;BgAGAFkBAAB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104140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UPS控制板单元测试方案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.2pt;height:51.4pt;width:324.7pt;mso-position-horizontal:center;z-index:251663360;mso-width-relative:page;mso-height-relative:page;" filled="f" stroked="f" coordsize="21600,21600" o:gfxdata="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6cxe32AAAAAcBAAAPAAAAAAAAAAEAIAAAACIAAABkcnMvZG93bnJl&#10;di54bWxQSwECFAAUAAAACACHTuJAH2b5h8QBAABuAwAADgAAAAAAAAABACAAAAAnAQAAZHJzL2Uy&#10;b0RvYy54bWxQSwUGAAAAAAYABgBZAQAAX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UPS控制板单元测试方案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1. </w:t>
      </w:r>
      <w:r>
        <w:rPr>
          <w:rFonts w:hint="eastAsia" w:ascii="宋体" w:hAnsi="宋体" w:cs="宋体"/>
          <w:szCs w:val="24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_Toc281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_Toc11576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_Toc11576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_Toc21539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szCs w:val="24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_Toc21539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_Toc20092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szCs w:val="24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_Toc20092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_Toc32597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2. </w:t>
      </w:r>
      <w:r>
        <w:rPr>
          <w:rFonts w:hint="eastAsia" w:ascii="宋体" w:hAnsi="宋体" w:cs="宋体"/>
          <w:szCs w:val="24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_Toc32597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_Toc1422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_Toc1422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_Toc32578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_Toc32578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_Toc10491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_Toc29569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szCs w:val="24"/>
          <w:lang w:val="en-US" w:eastAsia="zh-CN"/>
        </w:rPr>
        <w:t xml:space="preserve">3. </w:t>
      </w:r>
      <w:r>
        <w:rPr>
          <w:rFonts w:hint="eastAsia" w:ascii="宋体" w:hAnsi="宋体" w:cs="宋体"/>
          <w:szCs w:val="24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_Toc29569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_Toc22606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_Toc22606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_Toc19065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_Toc19065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_Toc2356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szCs w:val="24"/>
          <w:lang w:val="en-US" w:eastAsia="zh-CN"/>
        </w:rPr>
        <w:t>测试</w:t>
      </w:r>
      <w:r>
        <w:rPr>
          <w:rFonts w:hint="eastAsia" w:ascii="宋体" w:hAnsi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_Toc2356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Toc281"/>
      <w:r>
        <w:rPr>
          <w:rFonts w:hint="eastAsia" w:ascii="宋体" w:hAnsi="宋体" w:cs="宋体"/>
          <w:sz w:val="24"/>
          <w:szCs w:val="24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szCs w:val="24"/>
          <w:lang w:val="en-US" w:eastAsia="zh-CN"/>
        </w:rPr>
      </w:pPr>
      <w:bookmarkStart w:id="1" w:name="_Toc11576"/>
      <w:r>
        <w:rPr>
          <w:rFonts w:hint="eastAsia" w:ascii="宋体" w:hAnsi="宋体" w:eastAsia="宋体" w:cs="宋体"/>
          <w:szCs w:val="24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为了验证UPS控制板在MS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001系统内是否达到开发需求的设计目标，满足MS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001系统在各种工作环境下正常工作的要求。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szCs w:val="24"/>
          <w:lang w:val="en-US" w:eastAsia="zh-CN"/>
        </w:rPr>
      </w:pPr>
      <w:bookmarkStart w:id="2" w:name="_Toc21539"/>
      <w:r>
        <w:rPr>
          <w:rFonts w:hint="eastAsia" w:ascii="宋体" w:hAnsi="宋体" w:eastAsia="宋体" w:cs="宋体"/>
          <w:szCs w:val="24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MS001.06.001ZZ-UPS控制板。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szCs w:val="24"/>
          <w:lang w:val="en-US" w:eastAsia="zh-CN"/>
        </w:rPr>
      </w:pPr>
      <w:bookmarkStart w:id="3" w:name="_Toc20092"/>
      <w:bookmarkStart w:id="4" w:name="_Toc28433"/>
      <w:bookmarkStart w:id="5" w:name="_Toc29698"/>
      <w:r>
        <w:rPr>
          <w:rFonts w:hint="eastAsia" w:ascii="宋体" w:hAnsi="宋体" w:eastAsia="宋体" w:cs="宋体"/>
          <w:szCs w:val="24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GB/T 14710-2009《医用电器环境要求及试验方法》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6" w:name="_Toc32597"/>
      <w:r>
        <w:rPr>
          <w:rFonts w:hint="eastAsia" w:ascii="宋体" w:hAnsi="宋体" w:cs="宋体"/>
          <w:sz w:val="24"/>
          <w:szCs w:val="24"/>
          <w:lang w:val="en-US" w:eastAsia="zh-CN"/>
        </w:rPr>
        <w:t>功能测试</w:t>
      </w:r>
      <w:bookmarkEnd w:id="6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7" w:name="_Toc1148"/>
      <w:bookmarkStart w:id="8" w:name="_Toc2744"/>
      <w:bookmarkStart w:id="9" w:name="_Toc1422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UPS控制板是通过接收UR控制板输出信号和脚踏反馈信号控制UPS输出，根据产品技术需求说明书，对UPS控制板输入输出功能进行测试验证，检验产品功能与开发需求是否一致。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0" w:name="_Toc32578"/>
      <w:bookmarkStart w:id="11" w:name="_Toc27413"/>
      <w:bookmarkStart w:id="12" w:name="_Toc12345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湿度：≤75%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设备：MS-001-B导引模块、万用表、稳压电源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3" w:name="_Toc9303"/>
      <w:bookmarkStart w:id="14" w:name="_Toc10491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测试</w:t>
      </w:r>
      <w:bookmarkEnd w:id="13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内容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首先需对UPS控制板进行工作电压和电流测试，并填写至以下表格：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0" w:firstLineChars="0"/>
        <w:jc w:val="both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0" w:firstLineChars="0"/>
        <w:jc w:val="both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bookmarkStart w:id="19" w:name="_GoBack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0" w:firstLineChars="0"/>
        <w:jc w:val="both"/>
        <w:textAlignment w:val="auto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UPS控制板基本工作参数</w:t>
      </w:r>
    </w:p>
    <w:tbl>
      <w:tblPr>
        <w:tblStyle w:val="30"/>
        <w:tblW w:w="78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78"/>
        <w:gridCol w:w="1578"/>
        <w:gridCol w:w="1578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预期工作电流（mA）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内部工作电流（mA）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5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其次测试UPS控制板的输入输出逻辑状态，检测其输出动作是否符合预期。按相应控制逻辑，填写实际UPS状态至2.3-2和2.3-3表格（表格内信号高低电平分别用1和0表示）：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表2.3-2 UR控制板控制UPS控制板输出测试</w:t>
      </w:r>
    </w:p>
    <w:tbl>
      <w:tblPr>
        <w:tblStyle w:val="3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515"/>
        <w:gridCol w:w="1265"/>
        <w:gridCol w:w="1558"/>
        <w:gridCol w:w="126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3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PC上电状态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机械臂上电状态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UR控制板输出信号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UPS控制板输出信号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UPS预期状态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UPS实际状态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上电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上电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开启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上电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掉电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开启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掉电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上电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开启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掉电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掉电</w:t>
            </w:r>
          </w:p>
        </w:tc>
        <w:tc>
          <w:tcPr>
            <w:tcW w:w="12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关闭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表2.3-3 脚踏控制UPS输出测试</w:t>
      </w:r>
    </w:p>
    <w:tbl>
      <w:tblPr>
        <w:tblStyle w:val="30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27"/>
        <w:gridCol w:w="1228"/>
        <w:gridCol w:w="1228"/>
        <w:gridCol w:w="1305"/>
        <w:gridCol w:w="1151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1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UPS正常工作</w:t>
            </w: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PC上电状态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机械臂上电状态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脚踏航空插头开关状态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UPS控制板输出信号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UPS预期状态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UPS实际状态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22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掉电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掉电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掉电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掉电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UPS未工作</w:t>
            </w:r>
          </w:p>
        </w:tc>
        <w:tc>
          <w:tcPr>
            <w:tcW w:w="12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开启</w:t>
            </w:r>
          </w:p>
        </w:tc>
        <w:tc>
          <w:tcPr>
            <w:tcW w:w="11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5" w:name="_Toc29569"/>
      <w:r>
        <w:rPr>
          <w:rFonts w:hint="eastAsia" w:ascii="宋体" w:hAnsi="宋体" w:cs="宋体"/>
          <w:sz w:val="24"/>
          <w:szCs w:val="24"/>
          <w:lang w:val="en-US" w:eastAsia="zh-CN"/>
        </w:rPr>
        <w:t>性能测试</w:t>
      </w:r>
      <w:bookmarkEnd w:id="15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6" w:name="_Toc22606"/>
      <w:r>
        <w:rPr>
          <w:rFonts w:hint="eastAsia" w:ascii="宋体" w:hAnsi="宋体" w:eastAsia="宋体" w:cs="宋体"/>
          <w:szCs w:val="24"/>
          <w:lang w:val="en-US" w:eastAsia="zh-CN"/>
        </w:rPr>
        <w:t>目标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根据GB/T 14710-2009《医用电器环境要求及试验方法》环境试验条件分组第三组要求，进行气候环境条件测试，试验产品在特定条件下是否满足性能要求。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7" w:name="_Toc19065"/>
      <w:r>
        <w:rPr>
          <w:rFonts w:hint="eastAsia" w:ascii="宋体" w:hAnsi="宋体" w:eastAsia="宋体" w:cs="宋体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设备：高低温箱、MS-001-B导引模块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8" w:name="_Toc2356"/>
      <w:r>
        <w:rPr>
          <w:rFonts w:hint="eastAsia" w:ascii="宋体" w:hAnsi="宋体" w:eastAsia="宋体" w:cs="宋体"/>
          <w:szCs w:val="24"/>
          <w:lang w:val="en-US" w:eastAsia="zh-CN"/>
        </w:rPr>
        <w:t>测试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内容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按照GB/T 14710-2009《医用电器环境要求及试验方法》测试流程，进行以下试验项目，每次试验前需要进行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第二章“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，确认正常后方可进行，试验后恢复时间定为一小时。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表3.3-1 环境测试</w:t>
      </w:r>
    </w:p>
    <w:tbl>
      <w:tblPr>
        <w:tblStyle w:val="30"/>
        <w:tblW w:w="86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33"/>
        <w:gridCol w:w="1160"/>
        <w:gridCol w:w="2072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18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1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1AD3E4A"/>
    <w:multiLevelType w:val="singleLevel"/>
    <w:tmpl w:val="E1AD3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98AA55"/>
    <w:multiLevelType w:val="multilevel"/>
    <w:tmpl w:val="2A98AA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A796F"/>
    <w:rsid w:val="01EA1B9F"/>
    <w:rsid w:val="03326971"/>
    <w:rsid w:val="03943E8E"/>
    <w:rsid w:val="03983DE2"/>
    <w:rsid w:val="03DC63F8"/>
    <w:rsid w:val="04013776"/>
    <w:rsid w:val="04722702"/>
    <w:rsid w:val="0603130E"/>
    <w:rsid w:val="06856B77"/>
    <w:rsid w:val="068F1291"/>
    <w:rsid w:val="07F41F56"/>
    <w:rsid w:val="08842EBA"/>
    <w:rsid w:val="097438D2"/>
    <w:rsid w:val="09840D97"/>
    <w:rsid w:val="0B6627C3"/>
    <w:rsid w:val="0CBA5453"/>
    <w:rsid w:val="0CDC3B5F"/>
    <w:rsid w:val="0DFF1B56"/>
    <w:rsid w:val="0F1B763C"/>
    <w:rsid w:val="0FE732EC"/>
    <w:rsid w:val="109E7C5F"/>
    <w:rsid w:val="11561493"/>
    <w:rsid w:val="11705FA5"/>
    <w:rsid w:val="120D2650"/>
    <w:rsid w:val="12546365"/>
    <w:rsid w:val="12C61677"/>
    <w:rsid w:val="161C11D8"/>
    <w:rsid w:val="16444FD4"/>
    <w:rsid w:val="17291566"/>
    <w:rsid w:val="17F87FDD"/>
    <w:rsid w:val="19C567B0"/>
    <w:rsid w:val="19CE2367"/>
    <w:rsid w:val="19D13F3C"/>
    <w:rsid w:val="1A8E68D7"/>
    <w:rsid w:val="1B7B5A13"/>
    <w:rsid w:val="1BC83102"/>
    <w:rsid w:val="1CA84A2F"/>
    <w:rsid w:val="1CFC3931"/>
    <w:rsid w:val="1D862F93"/>
    <w:rsid w:val="1DD13705"/>
    <w:rsid w:val="1E853548"/>
    <w:rsid w:val="1EFA772E"/>
    <w:rsid w:val="210F39C4"/>
    <w:rsid w:val="217C0CE0"/>
    <w:rsid w:val="22156154"/>
    <w:rsid w:val="22D406D3"/>
    <w:rsid w:val="23090AD6"/>
    <w:rsid w:val="2439695D"/>
    <w:rsid w:val="24D11E65"/>
    <w:rsid w:val="25E42F0C"/>
    <w:rsid w:val="29EB7226"/>
    <w:rsid w:val="2A2C5ED8"/>
    <w:rsid w:val="2A935255"/>
    <w:rsid w:val="2BA20F90"/>
    <w:rsid w:val="2BDB4B2B"/>
    <w:rsid w:val="2DBC0D54"/>
    <w:rsid w:val="2DDE5AB2"/>
    <w:rsid w:val="2E0D0FB1"/>
    <w:rsid w:val="2E620EB2"/>
    <w:rsid w:val="2EE96C29"/>
    <w:rsid w:val="2F44456A"/>
    <w:rsid w:val="2F7F6E1A"/>
    <w:rsid w:val="2FB56A31"/>
    <w:rsid w:val="2FD15513"/>
    <w:rsid w:val="329C5D93"/>
    <w:rsid w:val="33603E37"/>
    <w:rsid w:val="369D33CF"/>
    <w:rsid w:val="37636AF0"/>
    <w:rsid w:val="37D90314"/>
    <w:rsid w:val="387F4B11"/>
    <w:rsid w:val="38A06EF6"/>
    <w:rsid w:val="38DA36FB"/>
    <w:rsid w:val="39732C58"/>
    <w:rsid w:val="3B750A48"/>
    <w:rsid w:val="3B766081"/>
    <w:rsid w:val="3C2B7302"/>
    <w:rsid w:val="3C5C2173"/>
    <w:rsid w:val="3D3F4BD4"/>
    <w:rsid w:val="3DC54A59"/>
    <w:rsid w:val="3E5E45A8"/>
    <w:rsid w:val="3F2D411D"/>
    <w:rsid w:val="3FA46E49"/>
    <w:rsid w:val="42254279"/>
    <w:rsid w:val="42A2772D"/>
    <w:rsid w:val="44464DD0"/>
    <w:rsid w:val="45006471"/>
    <w:rsid w:val="45170D3A"/>
    <w:rsid w:val="45CF526E"/>
    <w:rsid w:val="467374F9"/>
    <w:rsid w:val="47020AC6"/>
    <w:rsid w:val="4A9E3646"/>
    <w:rsid w:val="4AD53E5C"/>
    <w:rsid w:val="4B6D6660"/>
    <w:rsid w:val="4B732A49"/>
    <w:rsid w:val="4C815570"/>
    <w:rsid w:val="4D6F67B1"/>
    <w:rsid w:val="4D7965CD"/>
    <w:rsid w:val="4EE03F35"/>
    <w:rsid w:val="505C6252"/>
    <w:rsid w:val="50A42A62"/>
    <w:rsid w:val="51114EEF"/>
    <w:rsid w:val="51773AA7"/>
    <w:rsid w:val="51BD17C2"/>
    <w:rsid w:val="53C00E8A"/>
    <w:rsid w:val="54A562E1"/>
    <w:rsid w:val="552D5FC7"/>
    <w:rsid w:val="556F2877"/>
    <w:rsid w:val="5609140E"/>
    <w:rsid w:val="56380C0A"/>
    <w:rsid w:val="56506340"/>
    <w:rsid w:val="5690091A"/>
    <w:rsid w:val="57F065A5"/>
    <w:rsid w:val="587961E5"/>
    <w:rsid w:val="59182CC9"/>
    <w:rsid w:val="5A4B619A"/>
    <w:rsid w:val="5BDD25C2"/>
    <w:rsid w:val="5C6349E8"/>
    <w:rsid w:val="5D130F89"/>
    <w:rsid w:val="5DE36A71"/>
    <w:rsid w:val="5E26448C"/>
    <w:rsid w:val="5EC141AC"/>
    <w:rsid w:val="5EFC2223"/>
    <w:rsid w:val="5F0977CD"/>
    <w:rsid w:val="5F31110C"/>
    <w:rsid w:val="5F5868F1"/>
    <w:rsid w:val="5F8B720D"/>
    <w:rsid w:val="60216B7A"/>
    <w:rsid w:val="603A740C"/>
    <w:rsid w:val="62632C96"/>
    <w:rsid w:val="62E20E15"/>
    <w:rsid w:val="64925F3C"/>
    <w:rsid w:val="65DB13DF"/>
    <w:rsid w:val="66336C28"/>
    <w:rsid w:val="6636079B"/>
    <w:rsid w:val="663E7534"/>
    <w:rsid w:val="66AD54FC"/>
    <w:rsid w:val="677576B2"/>
    <w:rsid w:val="684412BF"/>
    <w:rsid w:val="68B1799F"/>
    <w:rsid w:val="68FB5B55"/>
    <w:rsid w:val="69A72AA1"/>
    <w:rsid w:val="6A43442F"/>
    <w:rsid w:val="6A7A30FE"/>
    <w:rsid w:val="6B112BF1"/>
    <w:rsid w:val="6BF14651"/>
    <w:rsid w:val="6CB60E03"/>
    <w:rsid w:val="6D10554D"/>
    <w:rsid w:val="6D51004E"/>
    <w:rsid w:val="6E51774D"/>
    <w:rsid w:val="6EB70C09"/>
    <w:rsid w:val="703E0BB4"/>
    <w:rsid w:val="70695FCF"/>
    <w:rsid w:val="710A2425"/>
    <w:rsid w:val="712A615E"/>
    <w:rsid w:val="71A66178"/>
    <w:rsid w:val="71DF169A"/>
    <w:rsid w:val="72DC3774"/>
    <w:rsid w:val="7311062E"/>
    <w:rsid w:val="73A77581"/>
    <w:rsid w:val="752666C2"/>
    <w:rsid w:val="757573C8"/>
    <w:rsid w:val="75BC624A"/>
    <w:rsid w:val="76774FB9"/>
    <w:rsid w:val="76E0667F"/>
    <w:rsid w:val="77C85888"/>
    <w:rsid w:val="7AA4324D"/>
    <w:rsid w:val="7AAD662E"/>
    <w:rsid w:val="7B51636E"/>
    <w:rsid w:val="7BF25478"/>
    <w:rsid w:val="7D16490F"/>
    <w:rsid w:val="7DFE5457"/>
    <w:rsid w:val="7E443C37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1034</Words>
  <Characters>1258</Characters>
  <Lines>3</Lines>
  <Paragraphs>1</Paragraphs>
  <TotalTime>2</TotalTime>
  <ScaleCrop>false</ScaleCrop>
  <LinksUpToDate>false</LinksUpToDate>
  <CharactersWithSpaces>1289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2023-02-03T02:06:28Z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