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2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MS001-B.03.001TR.1.0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52"/>
                <w:szCs w:val="52"/>
                <w:lang w:val="en-US" w:eastAsia="zh-CN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规划软件单元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文档修订履历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</w:rPr>
        <w:t>文档仅限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产品（</w:t>
      </w:r>
      <w:r>
        <w:rPr>
          <w:rFonts w:hint="default" w:ascii="Times New Roman" w:hAnsi="Times New Roman" w:eastAsia="宋体" w:cs="Times New Roman"/>
          <w:i w:val="0"/>
          <w:iCs/>
        </w:rPr>
        <w:t>项目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/>
        </w:rPr>
        <w:t>组内流转，违者负相应法律责任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_Toc11576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第一章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_Toc11576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_Toc19306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_Toc19306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_Toc168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_Toc26463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_Toc26463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_Toc15894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_Toc15894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  <w:bookmarkStart w:id="64" w:name="_GoBack"/>
          <w:bookmarkEnd w:id="64"/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_Toc32464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_Toc32464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_Toc32178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_Toc32178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_Toc20172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测试要求</w:t>
          </w:r>
          <w:r>
            <w:tab/>
          </w:r>
          <w:r>
            <w:fldChar w:fldCharType="begin"/>
          </w:r>
          <w:r>
            <w:instrText xml:space="preserve"> PAGEREF _Toc20172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_Toc32618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_Toc32618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_Toc6719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_Toc6719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_Toc14950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_Toc14950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_Toc25582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_Toc25582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_Toc30093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_Toc30093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_Toc20857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3.6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_Toc20857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_Toc6412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3.7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测试地点</w:t>
          </w:r>
          <w:r>
            <w:tab/>
          </w:r>
          <w:r>
            <w:fldChar w:fldCharType="begin"/>
          </w:r>
          <w:r>
            <w:instrText xml:space="preserve"> PAGEREF _Toc6412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_Toc18232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测试记录</w:t>
          </w:r>
          <w:r>
            <w:tab/>
          </w:r>
          <w:r>
            <w:fldChar w:fldCharType="begin"/>
          </w:r>
          <w:r>
            <w:instrText xml:space="preserve"> PAGEREF _Toc18232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_Toc10549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第五章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测试结果与分析</w:t>
          </w:r>
          <w:r>
            <w:tab/>
          </w:r>
          <w:r>
            <w:fldChar w:fldCharType="begin"/>
          </w:r>
          <w:r>
            <w:instrText xml:space="preserve"> PAGEREF _Toc10549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_Toc3117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第六章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_Toc3117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_Toc7470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附件1</w:t>
          </w:r>
          <w:r>
            <w:rPr>
              <w:rFonts w:hint="eastAsia" w:ascii="Times New Roman" w:hAnsi="Times New Roman" w:cs="Times New Roman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_Toc7470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>
      <w:pPr>
        <w:pStyle w:val="3"/>
        <w:bidi w:val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11576"/>
      <w:r>
        <w:rPr>
          <w:rFonts w:hint="default" w:ascii="Times New Roman" w:hAnsi="Times New Roman" w:eastAsia="宋体" w:cs="Times New Roman"/>
          <w:lang w:val="en-US" w:eastAsia="zh-CN"/>
        </w:rPr>
        <w:t>引言</w:t>
      </w:r>
      <w:bookmarkEnd w:id="0"/>
    </w:p>
    <w:p>
      <w:pPr>
        <w:pStyle w:val="4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eastAsia="zh-CN"/>
        </w:rPr>
      </w:pPr>
      <w:bookmarkStart w:id="1" w:name="_Toc26376"/>
      <w:bookmarkStart w:id="2" w:name="_Toc23347"/>
      <w:bookmarkStart w:id="3" w:name="_Toc8853"/>
      <w:bookmarkStart w:id="4" w:name="_Toc24130"/>
      <w:bookmarkStart w:id="5" w:name="_Toc7898"/>
      <w:bookmarkStart w:id="6" w:name="_Toc14588"/>
      <w:bookmarkStart w:id="7" w:name="_Toc1912"/>
      <w:bookmarkStart w:id="8" w:name="_Toc9537"/>
      <w:bookmarkStart w:id="9" w:name="_Toc32383"/>
      <w:bookmarkStart w:id="10" w:name="_Toc19306"/>
      <w:r>
        <w:rPr>
          <w:rFonts w:hint="default" w:ascii="Times New Roman" w:hAnsi="Times New Roman" w:eastAsia="宋体" w:cs="Times New Roman"/>
          <w:lang w:eastAsia="zh-CN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bookmarkStart w:id="11" w:name="_Toc11648"/>
      <w:bookmarkEnd w:id="11"/>
      <w:bookmarkStart w:id="12" w:name="_Toc3290"/>
      <w:bookmarkEnd w:id="12"/>
      <w:bookmarkStart w:id="13" w:name="_Toc18639"/>
      <w:bookmarkEnd w:id="13"/>
      <w:bookmarkStart w:id="14" w:name="_Toc22393"/>
      <w:bookmarkEnd w:id="14"/>
      <w:bookmarkStart w:id="15" w:name="_Toc4427"/>
      <w:bookmarkEnd w:id="15"/>
      <w:bookmarkStart w:id="16" w:name="_Toc32161"/>
      <w:bookmarkEnd w:id="16"/>
      <w:bookmarkStart w:id="17" w:name="_Toc10935"/>
      <w:bookmarkStart w:id="18" w:name="_Toc23664"/>
      <w:bookmarkStart w:id="19" w:name="_Toc13736"/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本文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MS-001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规划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单元测试结果进行整理和汇总，形成正式的测试报告，为软件评审验收提供依据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。</w:t>
      </w:r>
    </w:p>
    <w:bookmarkEnd w:id="17"/>
    <w:bookmarkEnd w:id="18"/>
    <w:bookmarkEnd w:id="19"/>
    <w:p>
      <w:pPr>
        <w:pStyle w:val="4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bookmarkStart w:id="20" w:name="_Toc168"/>
      <w: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  <w:t>术语及缩写词</w:t>
      </w:r>
      <w:bookmarkEnd w:id="20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无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21" w:name="_Toc26463"/>
      <w:bookmarkStart w:id="22" w:name="_Toc11457"/>
      <w:r>
        <w:rPr>
          <w:rFonts w:hint="default" w:ascii="Times New Roman" w:hAnsi="Times New Roman" w:eastAsia="宋体" w:cs="Times New Roman"/>
          <w:lang w:val="en-US" w:eastAsia="zh-CN"/>
        </w:rPr>
        <w:t>参考资料</w:t>
      </w:r>
      <w:bookmarkEnd w:id="21"/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技术需求说明书》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规划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软件详细设计说明书》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23" w:name="_Toc15894"/>
      <w:bookmarkStart w:id="24" w:name="_Toc24202"/>
      <w:bookmarkStart w:id="25" w:name="_Toc1867"/>
      <w:bookmarkStart w:id="26" w:name="_Toc4826"/>
      <w:bookmarkStart w:id="27" w:name="_Toc1748"/>
      <w:bookmarkStart w:id="28" w:name="_Toc13206"/>
      <w:bookmarkStart w:id="29" w:name="_Toc477"/>
      <w:bookmarkStart w:id="30" w:name="_Toc9934"/>
      <w:bookmarkStart w:id="31" w:name="_Toc9422"/>
      <w:r>
        <w:rPr>
          <w:rFonts w:hint="default" w:ascii="Times New Roman" w:hAnsi="Times New Roman" w:eastAsia="宋体" w:cs="Times New Roman"/>
          <w:lang w:val="en-US" w:eastAsia="zh-CN"/>
        </w:rPr>
        <w:t>运行环境</w:t>
      </w:r>
      <w:bookmarkEnd w:id="23"/>
    </w:p>
    <w:bookmarkEnd w:id="22"/>
    <w:bookmarkEnd w:id="24"/>
    <w:bookmarkEnd w:id="25"/>
    <w:bookmarkEnd w:id="26"/>
    <w:bookmarkEnd w:id="27"/>
    <w:bookmarkEnd w:id="28"/>
    <w:bookmarkEnd w:id="29"/>
    <w:bookmarkEnd w:id="30"/>
    <w:bookmarkEnd w:id="31"/>
    <w:p>
      <w:pPr>
        <w:pStyle w:val="4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32" w:name="_Toc7697"/>
      <w:bookmarkStart w:id="33" w:name="_Toc32464"/>
      <w:r>
        <w:rPr>
          <w:rFonts w:hint="default" w:ascii="Times New Roman" w:hAnsi="Times New Roman" w:eastAsia="宋体" w:cs="Times New Roman"/>
          <w:lang w:val="en-US" w:eastAsia="zh-CN"/>
        </w:rPr>
        <w:t>软件环境</w:t>
      </w:r>
      <w:bookmarkEnd w:id="32"/>
      <w:bookmarkEnd w:id="33"/>
    </w:p>
    <w:tbl>
      <w:tblPr>
        <w:tblStyle w:val="21"/>
        <w:tblW w:w="8820" w:type="dxa"/>
        <w:tblInd w:w="-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7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操作系统</w:t>
            </w:r>
          </w:p>
        </w:tc>
        <w:tc>
          <w:tcPr>
            <w:tcW w:w="700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Windows 10 64位及以上版本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规划软件版本</w:t>
            </w:r>
          </w:p>
        </w:tc>
        <w:tc>
          <w:tcPr>
            <w:tcW w:w="700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GPU支持软件</w:t>
            </w:r>
          </w:p>
        </w:tc>
        <w:tc>
          <w:tcPr>
            <w:tcW w:w="7002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NVIDIA CUDA Toolkit 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开发工具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Microsoft Visual Studio2015, Qt5.9.7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测试框架</w:t>
            </w:r>
          </w:p>
        </w:tc>
        <w:tc>
          <w:tcPr>
            <w:tcW w:w="700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GTest 1.9.0</w:t>
            </w:r>
          </w:p>
        </w:tc>
      </w:tr>
    </w:tbl>
    <w:p>
      <w:pPr>
        <w:pStyle w:val="4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lang w:val="en-US" w:eastAsia="zh-CN"/>
        </w:rPr>
      </w:pPr>
      <w:bookmarkStart w:id="34" w:name="_Toc6373"/>
      <w:bookmarkStart w:id="35" w:name="_Toc32178"/>
      <w:bookmarkStart w:id="36" w:name="_Toc27561"/>
      <w:r>
        <w:rPr>
          <w:rFonts w:hint="default" w:ascii="Times New Roman" w:hAnsi="Times New Roman" w:eastAsia="宋体" w:cs="Times New Roman"/>
          <w:lang w:val="en-US" w:eastAsia="zh-CN"/>
        </w:rPr>
        <w:t>硬件环境</w:t>
      </w:r>
      <w:bookmarkEnd w:id="34"/>
      <w:bookmarkEnd w:id="35"/>
    </w:p>
    <w:tbl>
      <w:tblPr>
        <w:tblStyle w:val="21"/>
        <w:tblW w:w="8820" w:type="dxa"/>
        <w:tblInd w:w="-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设备</w:t>
            </w:r>
          </w:p>
        </w:tc>
        <w:tc>
          <w:tcPr>
            <w:tcW w:w="6987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主机</w:t>
            </w:r>
          </w:p>
        </w:tc>
        <w:tc>
          <w:tcPr>
            <w:tcW w:w="6987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5、显卡：NVIDA GeForce RTX 2060</w:t>
            </w:r>
          </w:p>
        </w:tc>
      </w:tr>
      <w:bookmarkEnd w:id="36"/>
    </w:tbl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</w:pPr>
      <w:bookmarkStart w:id="37" w:name="_Toc4741"/>
      <w:bookmarkStart w:id="38" w:name="_Toc2111"/>
      <w:bookmarkStart w:id="39" w:name="_Toc29383"/>
      <w:bookmarkStart w:id="40" w:name="_Toc26207"/>
      <w:bookmarkStart w:id="41" w:name="_Toc15049"/>
      <w:bookmarkStart w:id="42" w:name="_Toc27278"/>
      <w:bookmarkStart w:id="43" w:name="_Toc16357"/>
      <w:bookmarkStart w:id="44" w:name="_Toc3324"/>
      <w:r>
        <w:rPr>
          <w:rFonts w:hint="default" w:ascii="Times New Roman" w:hAnsi="Times New Roman" w:eastAsia="宋体" w:cs="Times New Roman"/>
          <w:vanish/>
          <w:color w:val="0070C0"/>
          <w:lang w:val="en-US" w:eastAsia="zh-CN"/>
        </w:rPr>
        <w:t>设备和工具</w:t>
      </w:r>
    </w:p>
    <w:tbl>
      <w:tblPr>
        <w:tblStyle w:val="21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294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37"/>
      <w:bookmarkEnd w:id="38"/>
      <w:bookmarkEnd w:id="39"/>
      <w:bookmarkEnd w:id="40"/>
      <w:bookmarkEnd w:id="41"/>
      <w:bookmarkEnd w:id="42"/>
      <w:bookmarkEnd w:id="43"/>
      <w:bookmarkEnd w:id="44"/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5" w:name="_Toc20172"/>
      <w:r>
        <w:rPr>
          <w:rFonts w:hint="default" w:ascii="Times New Roman" w:hAnsi="Times New Roman" w:eastAsia="宋体" w:cs="Times New Roman"/>
          <w:lang w:val="en-US" w:eastAsia="zh-CN"/>
        </w:rPr>
        <w:t>测试要求</w:t>
      </w:r>
      <w:bookmarkEnd w:id="45"/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6" w:name="_Toc32618"/>
      <w:r>
        <w:rPr>
          <w:rFonts w:hint="default" w:ascii="Times New Roman" w:hAnsi="Times New Roman" w:eastAsia="宋体" w:cs="Times New Roman"/>
          <w:lang w:val="en-US" w:eastAsia="zh-CN"/>
        </w:rPr>
        <w:t>测试内容</w:t>
      </w:r>
      <w:bookmarkEnd w:id="46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针对导引软件的注册功能、登录功能、网络功能、选择功能、数据管理功能、切割复位功能、CT分区功能、规划功能、X-Ray分区功能、配准功能、定位功能、软件信息功能、配置功能、日志记录功能、日志导出功能、系统退出功能进行接口测试、局部数据结构测试、路径测试、错误处理测试、边界测试。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47" w:name="_Toc5065"/>
      <w:bookmarkStart w:id="48" w:name="_Toc6719"/>
      <w:r>
        <w:rPr>
          <w:rFonts w:hint="default" w:ascii="Times New Roman" w:hAnsi="Times New Roman" w:eastAsia="宋体" w:cs="Times New Roman"/>
          <w:lang w:val="en-US" w:eastAsia="zh-CN"/>
        </w:rPr>
        <w:t>测试目标</w:t>
      </w:r>
      <w:bookmarkEnd w:id="47"/>
      <w:bookmarkEnd w:id="48"/>
    </w:p>
    <w:p>
      <w:pPr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所有测试用例全部测试通过。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9" w:name="_Toc22571"/>
      <w:bookmarkStart w:id="50" w:name="_Toc14950"/>
      <w:r>
        <w:rPr>
          <w:rFonts w:hint="default" w:ascii="Times New Roman" w:hAnsi="Times New Roman" w:eastAsia="宋体" w:cs="Times New Roman"/>
          <w:lang w:val="en-US" w:eastAsia="zh-CN"/>
        </w:rPr>
        <w:t>测试方法</w:t>
      </w:r>
      <w:bookmarkEnd w:id="49"/>
      <w:bookmarkEnd w:id="50"/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测试方法为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白盒测试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具体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测试方法如下：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1）语句覆盖：每条语句至少执行一次；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2）判定覆盖：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又叫分支覆盖，每个判定的每个分支至少执行一次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3）条件覆盖：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每个判定的每个条件应取到各种可能的值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4）判定/条件覆盖：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同时满足判定覆盖和条件覆盖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5）条件组合覆盖：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每个判定中各条件的每一种组合至少出现一次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6）路径覆盖：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使程序中每一条可能的路径至少执行一次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1" w:name="_Toc6165"/>
      <w:bookmarkStart w:id="52" w:name="_Toc25582"/>
      <w:r>
        <w:rPr>
          <w:rFonts w:hint="default" w:ascii="Times New Roman" w:hAnsi="Times New Roman" w:eastAsia="宋体" w:cs="Times New Roman"/>
          <w:lang w:val="en-US" w:eastAsia="zh-CN"/>
        </w:rPr>
        <w:t>测试准备</w:t>
      </w:r>
      <w:bookmarkEnd w:id="51"/>
      <w:bookmarkEnd w:id="52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进行测试之前，准备测试用例与测试工具，建立测试环境，对详细设计说明书做进一步确认，保证接口、工作流程的一致性；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建立测试需要的软硬件环境。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3" w:name="_Toc30093"/>
      <w:r>
        <w:rPr>
          <w:rFonts w:hint="default" w:ascii="Times New Roman" w:hAnsi="Times New Roman" w:eastAsia="宋体" w:cs="Times New Roman"/>
          <w:lang w:val="en-US" w:eastAsia="zh-CN"/>
        </w:rPr>
        <w:t>测试人员</w:t>
      </w:r>
      <w:bookmarkEnd w:id="53"/>
    </w:p>
    <w:tbl>
      <w:tblPr>
        <w:tblStyle w:val="2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296"/>
        <w:gridCol w:w="2672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人员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岗位</w:t>
            </w:r>
          </w:p>
        </w:tc>
        <w:tc>
          <w:tcPr>
            <w:tcW w:w="225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戴维焕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4"/>
                <w:szCs w:val="24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登录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网络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选择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数据管理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高广文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4"/>
                <w:szCs w:val="24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切割复位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配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eastAsia="zh-CN"/>
              </w:rPr>
              <w:t>准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软件信息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配置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软件注册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  <w:lang w:eastAsia="zh-CN"/>
              </w:rPr>
              <w:t>系统退出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  <w:lang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CT分区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X-Ray分区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定位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规划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日志记录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3"/>
              </w:numPr>
              <w:bidi w:val="0"/>
              <w:spacing w:line="360" w:lineRule="auto"/>
              <w:ind w:left="425" w:hanging="425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日志导出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</w:tc>
      </w:tr>
    </w:tbl>
    <w:p>
      <w:pPr>
        <w:bidi w:val="0"/>
        <w:rPr>
          <w:rFonts w:hint="default"/>
          <w:lang w:eastAsia="zh-CN"/>
        </w:rPr>
      </w:pP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4" w:name="_Toc20857"/>
      <w:r>
        <w:rPr>
          <w:rFonts w:hint="default" w:ascii="Times New Roman" w:hAnsi="Times New Roman" w:eastAsia="宋体" w:cs="Times New Roman"/>
          <w:lang w:val="en-US" w:eastAsia="zh-CN"/>
        </w:rPr>
        <w:t>测试时间</w:t>
      </w:r>
      <w:bookmarkEnd w:id="54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测试用例执行    </w:t>
            </w:r>
          </w:p>
        </w:tc>
        <w:tc>
          <w:tcPr>
            <w:tcW w:w="2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2021/02/01-2021/03/17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文档编写</w:t>
            </w:r>
          </w:p>
        </w:tc>
        <w:tc>
          <w:tcPr>
            <w:tcW w:w="2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2021/03/18-2021/03/25</w:t>
            </w:r>
          </w:p>
        </w:tc>
      </w:tr>
    </w:tbl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55" w:name="_Toc6412"/>
      <w:r>
        <w:rPr>
          <w:rFonts w:hint="default" w:ascii="Times New Roman" w:hAnsi="Times New Roman" w:eastAsia="宋体" w:cs="Times New Roman"/>
          <w:lang w:val="en-US" w:eastAsia="zh-CN"/>
        </w:rPr>
        <w:t>测试地点</w:t>
      </w:r>
      <w:bookmarkEnd w:id="55"/>
    </w:p>
    <w:p>
      <w:pPr>
        <w:ind w:firstLine="560"/>
        <w:rPr>
          <w:rFonts w:hint="default" w:ascii="Times New Roman" w:hAnsi="Times New Roman" w:eastAsia="宋体" w:cs="Times New Roman"/>
          <w:color w:val="auto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公司实验室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56" w:name="_Toc18232"/>
      <w:r>
        <w:rPr>
          <w:rFonts w:hint="default" w:ascii="Times New Roman" w:hAnsi="Times New Roman" w:eastAsia="宋体" w:cs="Times New Roman"/>
          <w:lang w:val="en-US" w:eastAsia="zh-CN"/>
        </w:rPr>
        <w:t>测试记录</w:t>
      </w:r>
      <w:bookmarkEnd w:id="56"/>
    </w:p>
    <w:p>
      <w:pPr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>附件1：</w:t>
      </w:r>
      <w:r>
        <w:rPr>
          <w:rFonts w:hint="eastAsia" w:ascii="Times New Roman" w:hAnsi="Times New Roman" w:cs="Times New Roman"/>
          <w:bCs/>
          <w:color w:val="auto"/>
          <w:sz w:val="24"/>
          <w:szCs w:val="24"/>
          <w:lang w:val="en-US" w:eastAsia="zh-CN"/>
        </w:rPr>
        <w:t>《MS-001规划软件单元测试记录.xlsx》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57" w:name="_Toc10549"/>
      <w:r>
        <w:rPr>
          <w:rFonts w:hint="default" w:ascii="Times New Roman" w:hAnsi="Times New Roman" w:eastAsia="宋体" w:cs="Times New Roman"/>
          <w:lang w:val="en-US" w:eastAsia="zh-CN"/>
        </w:rPr>
        <w:t>测试结果与分析</w:t>
      </w:r>
      <w:bookmarkEnd w:id="5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本次单元测试代码覆盖率</w:t>
      </w:r>
      <w:r>
        <w:rPr>
          <w:rFonts w:hint="eastAsia" w:eastAsia="宋体"/>
          <w:sz w:val="24"/>
          <w:szCs w:val="24"/>
          <w:lang w:val="en-US" w:eastAsia="zh-CN"/>
        </w:rPr>
        <w:t>不低</w:t>
      </w:r>
      <w:r>
        <w:rPr>
          <w:rFonts w:hint="default" w:eastAsia="宋体"/>
          <w:sz w:val="24"/>
          <w:szCs w:val="24"/>
          <w:lang w:val="en-US" w:eastAsia="zh-CN"/>
        </w:rPr>
        <w:t>于80%，所有单元测试用例通过测试</w:t>
      </w:r>
      <w:r>
        <w:rPr>
          <w:rFonts w:hint="default" w:eastAsia="宋体"/>
          <w:color w:val="auto"/>
          <w:sz w:val="24"/>
          <w:szCs w:val="24"/>
          <w:lang w:val="en-US" w:eastAsia="zh-CN"/>
        </w:rPr>
        <w:t>。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58" w:name="_Toc3117"/>
      <w:bookmarkStart w:id="59" w:name="_Toc24157"/>
      <w:bookmarkStart w:id="60" w:name="_Toc6113"/>
      <w:bookmarkStart w:id="61" w:name="_Toc22361"/>
      <w:bookmarkStart w:id="62" w:name="_Toc4765"/>
      <w:r>
        <w:rPr>
          <w:rFonts w:hint="default" w:ascii="Times New Roman" w:hAnsi="Times New Roman" w:eastAsia="宋体" w:cs="Times New Roman"/>
          <w:lang w:val="en-US" w:eastAsia="zh-CN"/>
        </w:rPr>
        <w:t>测试结论</w:t>
      </w:r>
      <w:bookmarkEnd w:id="58"/>
    </w:p>
    <w:bookmarkEnd w:id="59"/>
    <w:bookmarkEnd w:id="60"/>
    <w:bookmarkEnd w:id="61"/>
    <w:bookmarkEnd w:id="62"/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本次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测试通过。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bookmarkStart w:id="63" w:name="_Toc7470"/>
      <w:r>
        <w:rPr>
          <w:rFonts w:hint="default" w:ascii="Times New Roman" w:hAnsi="Times New Roman" w:eastAsia="宋体" w:cs="Times New Roman"/>
          <w:lang w:val="en-US" w:eastAsia="zh-CN"/>
        </w:rPr>
        <w:t>附件1</w:t>
      </w:r>
      <w:r>
        <w:rPr>
          <w:rFonts w:hint="eastAsia" w:ascii="Times New Roman" w:hAnsi="Times New Roman" w:cs="Times New Roman"/>
          <w:lang w:val="en-US" w:eastAsia="zh-CN"/>
        </w:rPr>
        <w:t>：</w:t>
      </w:r>
      <w:bookmarkEnd w:id="63"/>
    </w:p>
    <w:p>
      <w:pPr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4"/>
          <w:szCs w:val="24"/>
          <w:lang w:val="en-US" w:eastAsia="zh-CN"/>
        </w:rPr>
        <w:t>《MS-001规划软件单元测试记录.xlsx》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7" w:type="default"/>
      <w:pgSz w:w="11906" w:h="16838"/>
      <w:pgMar w:top="1417" w:right="1803" w:bottom="850" w:left="1803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9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93C1CC"/>
    <w:multiLevelType w:val="singleLevel"/>
    <w:tmpl w:val="E893C1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A6985C"/>
    <w:multiLevelType w:val="singleLevel"/>
    <w:tmpl w:val="F9A698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C26B10"/>
    <w:rsid w:val="00CC79CB"/>
    <w:rsid w:val="012C21C6"/>
    <w:rsid w:val="013C7235"/>
    <w:rsid w:val="01681616"/>
    <w:rsid w:val="01D67EAB"/>
    <w:rsid w:val="01F23AA6"/>
    <w:rsid w:val="0260168B"/>
    <w:rsid w:val="02644ACE"/>
    <w:rsid w:val="02972202"/>
    <w:rsid w:val="02AB0636"/>
    <w:rsid w:val="03377BF0"/>
    <w:rsid w:val="040344C3"/>
    <w:rsid w:val="04B50CA1"/>
    <w:rsid w:val="04CA4BB5"/>
    <w:rsid w:val="05CB5F07"/>
    <w:rsid w:val="064C693C"/>
    <w:rsid w:val="06BF1533"/>
    <w:rsid w:val="074012A7"/>
    <w:rsid w:val="074245F9"/>
    <w:rsid w:val="08680097"/>
    <w:rsid w:val="08756ED0"/>
    <w:rsid w:val="08B11E84"/>
    <w:rsid w:val="09D449FF"/>
    <w:rsid w:val="0A65416C"/>
    <w:rsid w:val="0ACD1D30"/>
    <w:rsid w:val="0BB928C2"/>
    <w:rsid w:val="0CA16FF1"/>
    <w:rsid w:val="0D380D3F"/>
    <w:rsid w:val="0DB875C6"/>
    <w:rsid w:val="0E3A78F2"/>
    <w:rsid w:val="0E562719"/>
    <w:rsid w:val="0F525587"/>
    <w:rsid w:val="0F94680C"/>
    <w:rsid w:val="101B2DF0"/>
    <w:rsid w:val="10A12DA0"/>
    <w:rsid w:val="10AD4E23"/>
    <w:rsid w:val="10D53F95"/>
    <w:rsid w:val="117A794E"/>
    <w:rsid w:val="120135A5"/>
    <w:rsid w:val="12580DEF"/>
    <w:rsid w:val="12621206"/>
    <w:rsid w:val="128812A8"/>
    <w:rsid w:val="12C845D2"/>
    <w:rsid w:val="12EB74D3"/>
    <w:rsid w:val="132604F3"/>
    <w:rsid w:val="132620B6"/>
    <w:rsid w:val="135B0E75"/>
    <w:rsid w:val="1376180B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C3546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562288"/>
    <w:rsid w:val="2084723C"/>
    <w:rsid w:val="20E76E8C"/>
    <w:rsid w:val="21633853"/>
    <w:rsid w:val="21850588"/>
    <w:rsid w:val="21C87415"/>
    <w:rsid w:val="22F93A8C"/>
    <w:rsid w:val="234611FA"/>
    <w:rsid w:val="23D729E7"/>
    <w:rsid w:val="24540CD2"/>
    <w:rsid w:val="24A27F99"/>
    <w:rsid w:val="25325929"/>
    <w:rsid w:val="25C42F68"/>
    <w:rsid w:val="2619352E"/>
    <w:rsid w:val="27434EF3"/>
    <w:rsid w:val="27C65F43"/>
    <w:rsid w:val="27F94167"/>
    <w:rsid w:val="285F5832"/>
    <w:rsid w:val="29154C2F"/>
    <w:rsid w:val="2A24147A"/>
    <w:rsid w:val="2A426EE4"/>
    <w:rsid w:val="2A5B04BE"/>
    <w:rsid w:val="2ABB636F"/>
    <w:rsid w:val="2AC45B60"/>
    <w:rsid w:val="2C9921DB"/>
    <w:rsid w:val="2D7A1034"/>
    <w:rsid w:val="2DE10445"/>
    <w:rsid w:val="2DFA09C5"/>
    <w:rsid w:val="2E332A79"/>
    <w:rsid w:val="2E3A7F6B"/>
    <w:rsid w:val="2E5D21FC"/>
    <w:rsid w:val="2E894335"/>
    <w:rsid w:val="2F27081C"/>
    <w:rsid w:val="2F512FB4"/>
    <w:rsid w:val="30720789"/>
    <w:rsid w:val="3075311F"/>
    <w:rsid w:val="31332561"/>
    <w:rsid w:val="313D09A1"/>
    <w:rsid w:val="31472456"/>
    <w:rsid w:val="325D23A1"/>
    <w:rsid w:val="32FE389F"/>
    <w:rsid w:val="334447D4"/>
    <w:rsid w:val="33740094"/>
    <w:rsid w:val="33AA484A"/>
    <w:rsid w:val="34583831"/>
    <w:rsid w:val="366A584F"/>
    <w:rsid w:val="3683146A"/>
    <w:rsid w:val="37612E17"/>
    <w:rsid w:val="37D0077B"/>
    <w:rsid w:val="394538AA"/>
    <w:rsid w:val="399B3711"/>
    <w:rsid w:val="39B5645A"/>
    <w:rsid w:val="3A1D45CF"/>
    <w:rsid w:val="3A565F8A"/>
    <w:rsid w:val="3AA04502"/>
    <w:rsid w:val="3B9F35EC"/>
    <w:rsid w:val="3D4D3A52"/>
    <w:rsid w:val="3DB40A1A"/>
    <w:rsid w:val="3DC207C2"/>
    <w:rsid w:val="3E3E70F1"/>
    <w:rsid w:val="3EBC2DD4"/>
    <w:rsid w:val="3F9E2EF4"/>
    <w:rsid w:val="40807D95"/>
    <w:rsid w:val="40E2300C"/>
    <w:rsid w:val="41E43209"/>
    <w:rsid w:val="428C27FE"/>
    <w:rsid w:val="42B13934"/>
    <w:rsid w:val="42B344DA"/>
    <w:rsid w:val="42CF3399"/>
    <w:rsid w:val="43C43E4A"/>
    <w:rsid w:val="448E2DB4"/>
    <w:rsid w:val="44DF1658"/>
    <w:rsid w:val="458A240E"/>
    <w:rsid w:val="45B46927"/>
    <w:rsid w:val="45EC0CF9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AE13DEB"/>
    <w:rsid w:val="4B5A4478"/>
    <w:rsid w:val="4B8B07CC"/>
    <w:rsid w:val="4C811E19"/>
    <w:rsid w:val="4D7C3C63"/>
    <w:rsid w:val="4DAA171B"/>
    <w:rsid w:val="4DC710FA"/>
    <w:rsid w:val="4E914C14"/>
    <w:rsid w:val="4F9D3B50"/>
    <w:rsid w:val="513F460A"/>
    <w:rsid w:val="51936894"/>
    <w:rsid w:val="51B8140F"/>
    <w:rsid w:val="52165D6D"/>
    <w:rsid w:val="52817719"/>
    <w:rsid w:val="529F58A7"/>
    <w:rsid w:val="52FA58EC"/>
    <w:rsid w:val="53D852B7"/>
    <w:rsid w:val="544C29BF"/>
    <w:rsid w:val="54BA5742"/>
    <w:rsid w:val="56D46745"/>
    <w:rsid w:val="57060B39"/>
    <w:rsid w:val="5865469B"/>
    <w:rsid w:val="587368DE"/>
    <w:rsid w:val="588A5717"/>
    <w:rsid w:val="5AB301E0"/>
    <w:rsid w:val="5ADB37A3"/>
    <w:rsid w:val="5B466F60"/>
    <w:rsid w:val="5BD63961"/>
    <w:rsid w:val="5BE7781C"/>
    <w:rsid w:val="5E344DD7"/>
    <w:rsid w:val="5E755F4B"/>
    <w:rsid w:val="5F483205"/>
    <w:rsid w:val="5FB81FB6"/>
    <w:rsid w:val="5FDF06B8"/>
    <w:rsid w:val="604C0C83"/>
    <w:rsid w:val="60547BD1"/>
    <w:rsid w:val="60DC4E7C"/>
    <w:rsid w:val="60E46730"/>
    <w:rsid w:val="61EE6039"/>
    <w:rsid w:val="625F05BC"/>
    <w:rsid w:val="627658E4"/>
    <w:rsid w:val="63601ED7"/>
    <w:rsid w:val="63863062"/>
    <w:rsid w:val="638721F4"/>
    <w:rsid w:val="64322884"/>
    <w:rsid w:val="654515A1"/>
    <w:rsid w:val="65AC3E31"/>
    <w:rsid w:val="667F0D60"/>
    <w:rsid w:val="66C36ACC"/>
    <w:rsid w:val="66EC372D"/>
    <w:rsid w:val="670C1F82"/>
    <w:rsid w:val="67573E35"/>
    <w:rsid w:val="67E97C88"/>
    <w:rsid w:val="68837AC6"/>
    <w:rsid w:val="68D50AD5"/>
    <w:rsid w:val="69677250"/>
    <w:rsid w:val="6A520566"/>
    <w:rsid w:val="6A7C36FF"/>
    <w:rsid w:val="6B5A5D8D"/>
    <w:rsid w:val="6BDD1677"/>
    <w:rsid w:val="6C0B71D2"/>
    <w:rsid w:val="6D5F31A0"/>
    <w:rsid w:val="6D976FEF"/>
    <w:rsid w:val="6DDE6EA2"/>
    <w:rsid w:val="6E007219"/>
    <w:rsid w:val="6EBD03FE"/>
    <w:rsid w:val="6F250974"/>
    <w:rsid w:val="6F425277"/>
    <w:rsid w:val="6F9D1EFD"/>
    <w:rsid w:val="7008444B"/>
    <w:rsid w:val="70334C0E"/>
    <w:rsid w:val="7044032E"/>
    <w:rsid w:val="71F54AAC"/>
    <w:rsid w:val="72AF4744"/>
    <w:rsid w:val="72B03567"/>
    <w:rsid w:val="72C151C2"/>
    <w:rsid w:val="73CF0E5E"/>
    <w:rsid w:val="74352EDB"/>
    <w:rsid w:val="749714E8"/>
    <w:rsid w:val="74DC704C"/>
    <w:rsid w:val="75B754E7"/>
    <w:rsid w:val="75DE5FD3"/>
    <w:rsid w:val="76AF189E"/>
    <w:rsid w:val="76C435C8"/>
    <w:rsid w:val="76F91DA1"/>
    <w:rsid w:val="778440DE"/>
    <w:rsid w:val="77B35E42"/>
    <w:rsid w:val="77D24D44"/>
    <w:rsid w:val="78225D97"/>
    <w:rsid w:val="78B236E4"/>
    <w:rsid w:val="78D749EE"/>
    <w:rsid w:val="78DA32BC"/>
    <w:rsid w:val="790E7842"/>
    <w:rsid w:val="79763CE0"/>
    <w:rsid w:val="79DD2BDF"/>
    <w:rsid w:val="79E80E57"/>
    <w:rsid w:val="7A080C0E"/>
    <w:rsid w:val="7A485CA4"/>
    <w:rsid w:val="7ABF68AF"/>
    <w:rsid w:val="7B6902D6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6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1059</Words>
  <Characters>1317</Characters>
  <Lines>0</Lines>
  <Paragraphs>0</Paragraphs>
  <TotalTime>0</TotalTime>
  <ScaleCrop>false</ScaleCrop>
  <LinksUpToDate>false</LinksUpToDate>
  <CharactersWithSpaces>1454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2022-11-25T08:48:24Z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AA969C0DB1C14479BB91EF6288D4E2CA</vt:lpwstr>
  </property>
</Properties>
</file>