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1270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ind w:firstLine="840" w:firstLineChars="400"/>
                            </w:pPr>
                            <w:r>
                              <w:rPr>
                                <w:rFonts w:hint="eastAsia"/>
                              </w:rPr>
                              <w:t>MS001-</w:t>
                            </w:r>
                            <w:r>
                              <w:rPr>
                                <w:rFonts w:hint="eastAsia"/>
                                <w:lang w:val="en-US" w:eastAsia="zh-CN"/>
                              </w:rPr>
                              <w:t>A</w:t>
                            </w:r>
                            <w:r>
                              <w:rPr>
                                <w:rFonts w:hint="eastAsia"/>
                              </w:rPr>
                              <w:t>.0</w:t>
                            </w:r>
                            <w:r>
                              <w:rPr>
                                <w:rFonts w:hint="eastAsia"/>
                                <w:lang w:val="en-US" w:eastAsia="zh-CN"/>
                              </w:rPr>
                              <w:t>3</w:t>
                            </w:r>
                            <w:r>
                              <w:rPr>
                                <w:rFonts w:hint="eastAsia"/>
                              </w:rPr>
                              <w:t>.</w:t>
                            </w:r>
                            <w:r>
                              <w:rPr>
                                <w:rFonts w:hint="eastAsia"/>
                                <w:lang w:val="en-US" w:eastAsia="zh-CN"/>
                              </w:rPr>
                              <w:t>004TP</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ind w:firstLine="840" w:firstLineChars="400"/>
                      </w:pPr>
                      <w:r>
                        <w:rPr>
                          <w:rFonts w:hint="eastAsia"/>
                        </w:rPr>
                        <w:t>MS001-</w:t>
                      </w:r>
                      <w:r>
                        <w:rPr>
                          <w:rFonts w:hint="eastAsia"/>
                          <w:lang w:val="en-US" w:eastAsia="zh-CN"/>
                        </w:rPr>
                        <w:t>A</w:t>
                      </w:r>
                      <w:r>
                        <w:rPr>
                          <w:rFonts w:hint="eastAsia"/>
                        </w:rPr>
                        <w:t>.0</w:t>
                      </w:r>
                      <w:r>
                        <w:rPr>
                          <w:rFonts w:hint="eastAsia"/>
                          <w:lang w:val="en-US" w:eastAsia="zh-CN"/>
                        </w:rPr>
                        <w:t>3</w:t>
                      </w:r>
                      <w:r>
                        <w:rPr>
                          <w:rFonts w:hint="eastAsia"/>
                        </w:rPr>
                        <w:t>.</w:t>
                      </w:r>
                      <w:r>
                        <w:rPr>
                          <w:rFonts w:hint="eastAsia"/>
                          <w:lang w:val="en-US" w:eastAsia="zh-CN"/>
                        </w:rPr>
                        <w:t>004TP</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492760</wp:posOffset>
                </wp:positionH>
                <wp:positionV relativeFrom="paragraph">
                  <wp:posOffset>179705</wp:posOffset>
                </wp:positionV>
                <wp:extent cx="4706620" cy="769620"/>
                <wp:effectExtent l="0" t="0" r="17780" b="11430"/>
                <wp:wrapNone/>
                <wp:docPr id="1" name="文本框 1"/>
                <wp:cNvGraphicFramePr/>
                <a:graphic xmlns:a="http://schemas.openxmlformats.org/drawingml/2006/main">
                  <a:graphicData uri="http://schemas.microsoft.com/office/word/2010/wordprocessingShape">
                    <wps:wsp>
                      <wps:cNvSpPr txBox="1"/>
                      <wps:spPr>
                        <a:xfrm>
                          <a:off x="2109470" y="1931670"/>
                          <a:ext cx="3736975" cy="769620"/>
                        </a:xfrm>
                        <a:prstGeom prst="rect">
                          <a:avLst/>
                        </a:prstGeom>
                        <a:solidFill>
                          <a:srgbClr val="FFFFFF"/>
                        </a:solidFill>
                        <a:ln w="6350">
                          <a:noFill/>
                        </a:ln>
                        <a:effectLst/>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pt;margin-top:14.15pt;height:60.6pt;width:370.6pt;z-index:251659264;mso-width-relative:page;mso-height-relative:page;" fillcolor="#FFFFFF" filled="t" stroked="f" coordsize="21600,21600" o:gfxdata="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09nehdUAAAAJAQAADwAAAAAAAAABACAAAAAiAAAAZHJzL2Rvd25yZXYueG1sUEsBAhQAFAAAAAgA&#10;h07iQJxObEZhAgAAqQQAAA4AAAAAAAAAAQAgAAAAJAEAAGRycy9lMm9Eb2MueG1sUEsFBgAAAAAG&#10;AAYAWQEAAPcFAAAAAA==&#10;">
                <v:fill on="t"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167005</wp:posOffset>
                </wp:positionV>
                <wp:extent cx="4890770" cy="1626870"/>
                <wp:effectExtent l="0" t="0" r="5080" b="11430"/>
                <wp:wrapNone/>
                <wp:docPr id="6" name="文本框 6"/>
                <wp:cNvGraphicFramePr/>
                <a:graphic xmlns:a="http://schemas.openxmlformats.org/drawingml/2006/main">
                  <a:graphicData uri="http://schemas.microsoft.com/office/word/2010/wordprocessingShape">
                    <wps:wsp>
                      <wps:cNvSpPr txBox="1"/>
                      <wps:spPr>
                        <a:xfrm>
                          <a:off x="0" y="0"/>
                          <a:ext cx="3714115" cy="769620"/>
                        </a:xfrm>
                        <a:prstGeom prst="rect">
                          <a:avLst/>
                        </a:prstGeom>
                        <a:solidFill>
                          <a:srgbClr val="FFFFFF"/>
                        </a:solidFill>
                        <a:ln w="6350">
                          <a:noFill/>
                        </a:ln>
                        <a:effectLst/>
                      </wps:spPr>
                      <wps:txb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规划软件</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安全级别分析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13.15pt;height:128.1pt;width:385.1pt;z-index:251663360;mso-width-relative:page;mso-height-relative:page;" fillcolor="#FFFFFF" filled="t" stroked="f" coordsize="21600,21600" o:gfxdata="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Frz2dUAAAAJ&#10;AQAADwAAAAAAAAABACAAAAAiAAAAZHJzL2Rvd25yZXYueG1sUEsBAhQAFAAAAAgAh07iQA+/AqxY&#10;AgAAnQQAAA4AAAAAAAAAAQAgAAAAJAEAAGRycy9lMm9Eb2MueG1sUEsFBgAAAAAGAAYAWQEAAO4F&#10;AAAAAA==&#10;">
                <v:fill on="t" focussize="0,0"/>
                <v:stroke on="f" weight="0.5pt"/>
                <v:imagedata o:title=""/>
                <o:lock v:ext="edit" aspectratio="f"/>
                <v:textbo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规划软件</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安全级别分析</w:t>
                      </w:r>
                    </w:p>
                  </w:txbxContent>
                </v:textbox>
              </v:shape>
            </w:pict>
          </mc:Fallback>
        </mc:AlternateContent>
      </w:r>
    </w:p>
    <w:p>
      <w:pPr>
        <w:widowControl/>
        <w:spacing w:before="156" w:after="156" w:line="240" w:lineRule="auto"/>
        <w:jc w:val="left"/>
        <w:rPr>
          <w:rFonts w:ascii="宋体" w:hAnsi="宋体" w:cs="宋体"/>
          <w:b/>
          <w:bCs/>
          <w:sz w:val="24"/>
        </w:rPr>
      </w:pP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1454785</wp:posOffset>
                </wp:positionH>
                <wp:positionV relativeFrom="paragraph">
                  <wp:posOffset>459105</wp:posOffset>
                </wp:positionV>
                <wp:extent cx="2766695" cy="2009140"/>
                <wp:effectExtent l="0" t="0" r="14605" b="10160"/>
                <wp:wrapSquare wrapText="bothSides"/>
                <wp:docPr id="3" name="文本框 3"/>
                <wp:cNvGraphicFramePr/>
                <a:graphic xmlns:a="http://schemas.openxmlformats.org/drawingml/2006/main">
                  <a:graphicData uri="http://schemas.microsoft.com/office/word/2010/wordprocessingShape">
                    <wps:wsp>
                      <wps:cNvSpPr txBox="1"/>
                      <wps:spPr>
                        <a:xfrm>
                          <a:off x="0" y="0"/>
                          <a:ext cx="2766695" cy="2009140"/>
                        </a:xfrm>
                        <a:prstGeom prst="rect">
                          <a:avLst/>
                        </a:prstGeom>
                        <a:solidFill>
                          <a:srgbClr val="FFFFFF"/>
                        </a:solidFill>
                        <a:ln w="6350">
                          <a:noFill/>
                        </a:ln>
                        <a:effectLst/>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5pt;margin-top:36.15pt;height:158.2pt;width:217.85pt;mso-wrap-distance-bottom:0pt;mso-wrap-distance-left:9pt;mso-wrap-distance-right:9pt;mso-wrap-distance-top:0pt;z-index:251661312;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bhjj11wAA&#10;AAoBAAAPAAAAAAAAAAEAIAAAACIAAABkcnMvZG93bnJldi54bWxQSwECFAAUAAAACACHTuJAbYyc&#10;4VgCAACeBAAADgAAAAAAAAABACAAAAAmAQAAZHJzL2Uyb0RvYy54bWxQSwUGAAAAAAYABgBZAQAA&#10;8AUAAAAA&#10;">
                <v:fill on="t"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1702435</wp:posOffset>
                </wp:positionH>
                <wp:positionV relativeFrom="paragraph">
                  <wp:posOffset>3582670</wp:posOffset>
                </wp:positionV>
                <wp:extent cx="2223135" cy="436880"/>
                <wp:effectExtent l="0" t="0" r="5715" b="127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qbzIn1gAAAAsBAAAPAAAAAAAAAAEAIAAAACIAAABkcnMvZG93bnJldi54bWxQSwECFAAUAAAA&#10;CACHTuJAoK4J1GICAACpBAAADgAAAAAAAAABACAAAAAlAQAAZHJzL2Uyb0RvYy54bWxQSwUGAAAA&#10;AAYABgBZAQAA+QU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lang w:val="en-US" w:eastAsia="zh-CN"/>
              </w:rPr>
              <w:t>V</w:t>
            </w:r>
            <w:r>
              <w:rPr>
                <w:rFonts w:hint="eastAsia" w:ascii="宋体" w:hAnsi="宋体" w:cs="宋体"/>
                <w:bCs/>
                <w:szCs w:val="21"/>
              </w:rPr>
              <w:t>1.0</w:t>
            </w:r>
          </w:p>
        </w:tc>
        <w:tc>
          <w:tcPr>
            <w:tcW w:w="1985" w:type="dxa"/>
            <w:vAlign w:val="center"/>
          </w:tcPr>
          <w:p>
            <w:pPr>
              <w:widowControl/>
              <w:spacing w:before="156" w:after="156" w:line="240" w:lineRule="auto"/>
              <w:jc w:val="center"/>
              <w:rPr>
                <w:rFonts w:hint="eastAsia" w:ascii="宋体" w:hAnsi="宋体" w:eastAsia="宋体" w:cs="宋体"/>
                <w:bCs/>
                <w:szCs w:val="21"/>
                <w:lang w:val="en-US" w:eastAsia="zh-CN"/>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hint="default" w:ascii="宋体" w:hAnsi="宋体" w:eastAsia="宋体" w:cs="宋体"/>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ectPr>
          <w:headerReference r:id="rId11" w:type="default"/>
          <w:footerReference r:id="rId12" w:type="default"/>
          <w:pgSz w:w="11906" w:h="16838"/>
          <w:pgMar w:top="1440" w:right="1800" w:bottom="1440" w:left="1800" w:header="851" w:footer="992" w:gutter="0"/>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spacing w:before="0" w:beforeLines="0" w:after="0" w:afterLines="0" w:line="240" w:lineRule="auto"/>
        <w:ind w:left="0" w:leftChars="0" w:right="0" w:rightChars="0" w:firstLine="0" w:firstLineChars="0"/>
        <w:jc w:val="center"/>
      </w:pP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_Toc12360 </w:instrText>
      </w:r>
      <w:r>
        <w:fldChar w:fldCharType="separate"/>
      </w:r>
      <w:r>
        <w:t xml:space="preserve">1. </w:t>
      </w:r>
      <w:r>
        <w:rPr>
          <w:rFonts w:hint="eastAsia"/>
          <w:lang w:val="en-US" w:eastAsia="zh-CN"/>
        </w:rPr>
        <w:t>编写</w:t>
      </w:r>
      <w:r>
        <w:rPr>
          <w:rFonts w:hint="eastAsia"/>
        </w:rPr>
        <w:t>目的</w:t>
      </w:r>
      <w:r>
        <w:tab/>
      </w:r>
      <w:r>
        <w:fldChar w:fldCharType="begin"/>
      </w:r>
      <w:r>
        <w:instrText xml:space="preserve"> PAGEREF _Toc12360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_Toc4708 </w:instrText>
      </w:r>
      <w:r>
        <w:fldChar w:fldCharType="separate"/>
      </w:r>
      <w:r>
        <w:rPr>
          <w:rFonts w:hint="eastAsia"/>
          <w:lang w:val="en-US" w:eastAsia="zh-CN"/>
        </w:rPr>
        <w:t>2. 适用范围</w:t>
      </w:r>
      <w:r>
        <w:tab/>
      </w:r>
      <w:r>
        <w:fldChar w:fldCharType="begin"/>
      </w:r>
      <w:r>
        <w:instrText xml:space="preserve"> PAGEREF _Toc4708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_Toc16713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_Toc16713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_Toc4759 </w:instrText>
      </w:r>
      <w:r>
        <w:fldChar w:fldCharType="separate"/>
      </w:r>
      <w:r>
        <w:rPr>
          <w:rFonts w:hint="eastAsia"/>
          <w:lang w:val="en-US" w:eastAsia="zh-CN"/>
        </w:rPr>
        <w:t>4. 产品预期用途</w:t>
      </w:r>
      <w:r>
        <w:tab/>
      </w:r>
      <w:r>
        <w:fldChar w:fldCharType="begin"/>
      </w:r>
      <w:r>
        <w:instrText xml:space="preserve"> PAGEREF _Toc4759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_Toc11175 </w:instrText>
      </w:r>
      <w:r>
        <w:fldChar w:fldCharType="separate"/>
      </w:r>
      <w:r>
        <w:rPr>
          <w:rFonts w:hint="default"/>
          <w:lang w:val="en-US" w:eastAsia="zh-CN"/>
        </w:rPr>
        <w:t xml:space="preserve">5. </w:t>
      </w:r>
      <w:r>
        <w:rPr>
          <w:rFonts w:hint="eastAsia"/>
          <w:lang w:val="en-US" w:eastAsia="zh-CN"/>
        </w:rPr>
        <w:t>安全性级别依据</w:t>
      </w:r>
      <w:r>
        <w:tab/>
      </w:r>
      <w:r>
        <w:fldChar w:fldCharType="begin"/>
      </w:r>
      <w:r>
        <w:instrText xml:space="preserve"> PAGEREF _Toc11175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_Toc1214 </w:instrText>
      </w:r>
      <w:r>
        <w:fldChar w:fldCharType="separate"/>
      </w:r>
      <w:r>
        <w:rPr>
          <w:rFonts w:hint="default"/>
          <w:lang w:val="en-US" w:eastAsia="zh-CN"/>
        </w:rPr>
        <w:t xml:space="preserve">6. </w:t>
      </w:r>
      <w:r>
        <w:rPr>
          <w:rFonts w:hint="default"/>
          <w:lang w:eastAsia="zh-CN"/>
        </w:rPr>
        <w:t>安全性级别</w:t>
      </w:r>
      <w:r>
        <w:rPr>
          <w:rFonts w:hint="eastAsia"/>
          <w:lang w:eastAsia="zh-CN"/>
        </w:rPr>
        <w:t>分析</w:t>
      </w:r>
      <w:r>
        <w:tab/>
      </w:r>
      <w:r>
        <w:fldChar w:fldCharType="begin"/>
      </w:r>
      <w:r>
        <w:instrText xml:space="preserve"> PAGEREF _Toc1214 \h </w:instrText>
      </w:r>
      <w:r>
        <w:fldChar w:fldCharType="separate"/>
      </w:r>
      <w:r>
        <w:t>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3"/>
        <w:numPr>
          <w:ilvl w:val="0"/>
          <w:numId w:val="2"/>
        </w:numPr>
        <w:bidi w:val="0"/>
      </w:pPr>
      <w:bookmarkStart w:id="0" w:name="_Toc31002"/>
      <w:bookmarkStart w:id="1" w:name="_Toc12360"/>
      <w:r>
        <w:rPr>
          <w:rFonts w:hint="eastAsia"/>
          <w:lang w:val="en-US" w:eastAsia="zh-CN"/>
        </w:rPr>
        <w:t>编写</w:t>
      </w:r>
      <w:r>
        <w:rPr>
          <w:rFonts w:hint="eastAsia"/>
        </w:rPr>
        <w:t>目的</w:t>
      </w:r>
      <w:bookmarkEnd w:id="0"/>
      <w:bookmarkEnd w:id="1"/>
    </w:p>
    <w:p>
      <w:pPr>
        <w:ind w:firstLine="420" w:firstLineChars="0"/>
        <w:rPr>
          <w:rFonts w:hint="eastAsia"/>
          <w:lang w:eastAsia="zh-CN"/>
        </w:rPr>
      </w:pPr>
      <w:r>
        <w:rPr>
          <w:rFonts w:hint="eastAsia"/>
          <w:lang w:eastAsia="zh-CN"/>
        </w:rPr>
        <w:t>目的是对于软件安全级别进行分析，为患者以及使用者提供软件安全性参考。</w:t>
      </w:r>
    </w:p>
    <w:p>
      <w:pPr>
        <w:pStyle w:val="3"/>
        <w:numPr>
          <w:ilvl w:val="0"/>
          <w:numId w:val="2"/>
        </w:numPr>
        <w:bidi w:val="0"/>
        <w:rPr>
          <w:rFonts w:hint="eastAsia"/>
          <w:lang w:val="en-US" w:eastAsia="zh-CN"/>
        </w:rPr>
      </w:pPr>
      <w:bookmarkStart w:id="2" w:name="_Toc4708"/>
      <w:r>
        <w:rPr>
          <w:rFonts w:hint="eastAsia"/>
          <w:lang w:val="en-US" w:eastAsia="zh-CN"/>
        </w:rPr>
        <w:t>适用范围</w:t>
      </w:r>
      <w:bookmarkEnd w:id="2"/>
    </w:p>
    <w:p>
      <w:pPr>
        <w:ind w:firstLine="420" w:firstLineChars="0"/>
        <w:rPr>
          <w:rFonts w:hint="eastAsia"/>
          <w:lang w:val="en-US" w:eastAsia="zh-CN"/>
        </w:rPr>
      </w:pPr>
      <w:r>
        <w:rPr>
          <w:rFonts w:hint="eastAsia"/>
          <w:lang w:val="en-US" w:eastAsia="zh-CN"/>
        </w:rPr>
        <w:t>我司MS-001规划软件。</w:t>
      </w:r>
    </w:p>
    <w:p>
      <w:pPr>
        <w:pStyle w:val="3"/>
        <w:numPr>
          <w:ilvl w:val="0"/>
          <w:numId w:val="2"/>
        </w:numPr>
        <w:bidi w:val="0"/>
        <w:rPr>
          <w:rFonts w:hint="default"/>
          <w:lang w:val="en-US" w:eastAsia="zh-CN"/>
        </w:rPr>
      </w:pPr>
      <w:bookmarkStart w:id="3" w:name="_Toc16713"/>
      <w:r>
        <w:rPr>
          <w:rFonts w:hint="eastAsia"/>
          <w:lang w:val="en-US" w:eastAsia="zh-CN"/>
        </w:rPr>
        <w:t>产品简介</w:t>
      </w:r>
      <w:bookmarkEnd w:id="3"/>
    </w:p>
    <w:p>
      <w:pPr>
        <w:ind w:firstLine="420" w:firstLineChars="200"/>
        <w:rPr>
          <w:rFonts w:hint="eastAsia" w:asciiTheme="minorEastAsia" w:hAnsiTheme="minorEastAsia" w:cstheme="minorEastAsia"/>
          <w:bCs/>
          <w:szCs w:val="21"/>
        </w:rPr>
      </w:pPr>
      <w:r>
        <w:rPr>
          <w:rFonts w:hint="default" w:asciiTheme="minorAscii" w:hAnsiTheme="minorAscii" w:cstheme="minorEastAsia"/>
          <w:bCs/>
          <w:szCs w:val="21"/>
          <w:lang w:val="en-US" w:eastAsia="zh-CN"/>
        </w:rPr>
        <w:t>MS-001</w:t>
      </w:r>
      <w:r>
        <w:rPr>
          <w:rFonts w:hint="eastAsia" w:asciiTheme="minorEastAsia" w:hAnsiTheme="minorEastAsia" w:cstheme="minorEastAsia"/>
          <w:bCs/>
          <w:szCs w:val="21"/>
        </w:rPr>
        <w:t>系统用于骨组织手术中体内规划目标的定位与导引，为手术提供辅助参考。</w:t>
      </w:r>
    </w:p>
    <w:p>
      <w:pPr>
        <w:ind w:firstLine="420" w:firstLineChars="0"/>
        <w:rPr>
          <w:rFonts w:hint="eastAsia" w:asciiTheme="minorEastAsia" w:hAnsiTheme="minorEastAsia" w:eastAsiaTheme="minorEastAsia" w:cstheme="minorEastAsia"/>
          <w:b w:val="0"/>
          <w:bCs/>
          <w:sz w:val="21"/>
          <w:szCs w:val="21"/>
          <w:lang w:val="en-US" w:eastAsia="zh-CN"/>
        </w:rPr>
      </w:pPr>
      <w:r>
        <w:rPr>
          <w:rFonts w:hint="eastAsia"/>
          <w:szCs w:val="21"/>
          <w:lang w:val="en-US" w:eastAsia="zh-CN"/>
        </w:rPr>
        <w:t>MS-001</w:t>
      </w:r>
      <w:r>
        <w:rPr>
          <w:rFonts w:hint="eastAsia"/>
        </w:rPr>
        <w:t>规划</w:t>
      </w:r>
      <w:r>
        <w:t>软件</w:t>
      </w:r>
      <w:r>
        <w:rPr>
          <w:rFonts w:hint="eastAsia"/>
        </w:rPr>
        <w:t>包括</w:t>
      </w:r>
      <w:r>
        <w:rPr>
          <w:rFonts w:hint="eastAsia" w:ascii="宋体" w:hAnsi="宋体" w:cs="Arial"/>
          <w:bCs/>
          <w:color w:val="auto"/>
          <w:sz w:val="21"/>
          <w:szCs w:val="21"/>
          <w:highlight w:val="none"/>
          <w:lang w:val="en-US" w:eastAsia="zh-CN"/>
        </w:rPr>
        <w:t>登录功能、模块选择功能、手术方案功能、手术外设功能、辅助设备功能、帮助功能六大功能以及软件注册子功能、登录子功能、网络子功能、选择子功能、数据管理子功能、切割复位子功能、CT分区子功能、规划子功能、X-Ray分区子功能、配准子功能、定位子功能、软件信息子功能、配置子功能、日志记录子功能、日志导出子功能、系统退出子功能。</w:t>
      </w:r>
    </w:p>
    <w:p>
      <w:pPr>
        <w:pStyle w:val="3"/>
        <w:numPr>
          <w:ilvl w:val="0"/>
          <w:numId w:val="2"/>
        </w:numPr>
        <w:bidi w:val="0"/>
        <w:rPr>
          <w:rFonts w:hint="eastAsia"/>
          <w:lang w:val="en-US" w:eastAsia="zh-CN"/>
        </w:rPr>
      </w:pPr>
      <w:bookmarkStart w:id="4" w:name="_Toc4759"/>
      <w:r>
        <w:rPr>
          <w:rFonts w:hint="eastAsia"/>
          <w:lang w:val="en-US" w:eastAsia="zh-CN"/>
        </w:rPr>
        <w:t>产品预期用途</w:t>
      </w:r>
      <w:bookmarkEnd w:id="4"/>
    </w:p>
    <w:p>
      <w:pPr>
        <w:bidi w:val="0"/>
        <w:ind w:firstLine="420" w:firstLineChars="200"/>
        <w:rPr>
          <w:rFonts w:hint="eastAsia"/>
        </w:rPr>
      </w:pPr>
      <w:r>
        <w:rPr>
          <w:rFonts w:hint="eastAsia"/>
          <w:lang w:val="en-US" w:eastAsia="zh-CN"/>
        </w:rPr>
        <w:t>用于骨外科开放或经皮手术的导航定位。</w:t>
      </w:r>
    </w:p>
    <w:p>
      <w:pPr>
        <w:pStyle w:val="3"/>
        <w:numPr>
          <w:ilvl w:val="0"/>
          <w:numId w:val="2"/>
        </w:numPr>
        <w:bidi w:val="0"/>
        <w:rPr>
          <w:rFonts w:hint="default"/>
          <w:lang w:val="en-US" w:eastAsia="zh-CN"/>
        </w:rPr>
      </w:pPr>
      <w:bookmarkStart w:id="5" w:name="_Toc11175"/>
      <w:r>
        <w:rPr>
          <w:rFonts w:hint="eastAsia"/>
          <w:lang w:val="en-US" w:eastAsia="zh-CN"/>
        </w:rPr>
        <w:t>安全性级别依据</w:t>
      </w:r>
      <w:bookmarkEnd w:id="5"/>
    </w:p>
    <w:p>
      <w:pPr>
        <w:numPr>
          <w:ilvl w:val="0"/>
          <w:numId w:val="0"/>
        </w:numPr>
        <w:ind w:left="420" w:leftChars="0" w:firstLine="420" w:firstLineChars="0"/>
        <w:rPr>
          <w:rFonts w:hint="eastAsia"/>
          <w:lang w:val="en-US" w:eastAsia="zh-CN"/>
        </w:rPr>
      </w:pPr>
      <w:r>
        <w:rPr>
          <w:rFonts w:hint="default"/>
          <w:lang w:val="en-US" w:eastAsia="zh-CN"/>
        </w:rPr>
        <w:t>根据YY/T</w:t>
      </w:r>
      <w:r>
        <w:rPr>
          <w:rFonts w:hint="eastAsia"/>
          <w:lang w:val="en-US" w:eastAsia="zh-CN"/>
        </w:rPr>
        <w:t xml:space="preserve"> </w:t>
      </w:r>
      <w:r>
        <w:rPr>
          <w:rFonts w:hint="default"/>
          <w:lang w:val="en-US" w:eastAsia="zh-CN"/>
        </w:rPr>
        <w:t>0664-</w:t>
      </w:r>
      <w:r>
        <w:rPr>
          <w:rFonts w:hint="eastAsia"/>
          <w:lang w:val="en-US" w:eastAsia="zh-CN"/>
        </w:rPr>
        <w:t>2020</w:t>
      </w:r>
      <w:r>
        <w:rPr>
          <w:rFonts w:hint="default"/>
          <w:lang w:val="en-US" w:eastAsia="zh-CN"/>
        </w:rPr>
        <w:t>：《医疗器械 软件</w:t>
      </w:r>
      <w:r>
        <w:rPr>
          <w:rFonts w:hint="eastAsia"/>
          <w:lang w:val="en-US" w:eastAsia="zh-CN"/>
        </w:rPr>
        <w:t>生存周期</w:t>
      </w:r>
      <w:r>
        <w:rPr>
          <w:rFonts w:hint="default"/>
          <w:lang w:val="en-US" w:eastAsia="zh-CN"/>
        </w:rPr>
        <w:t>过程》</w:t>
      </w:r>
      <w:r>
        <w:rPr>
          <w:rFonts w:hint="eastAsia"/>
          <w:lang w:val="en-US" w:eastAsia="zh-CN"/>
        </w:rPr>
        <w:t>，安全性级别定义及要求如下：</w:t>
      </w:r>
      <w:r>
        <w:rPr>
          <w:rFonts w:hint="eastAsia"/>
          <w:lang w:val="en-US" w:eastAsia="zh-CN"/>
        </w:rPr>
        <w:tab/>
      </w:r>
    </w:p>
    <w:p>
      <w:pPr>
        <w:numPr>
          <w:ilvl w:val="0"/>
          <w:numId w:val="3"/>
        </w:numPr>
        <w:ind w:left="420" w:leftChars="0" w:firstLine="420" w:firstLineChars="0"/>
        <w:rPr>
          <w:rFonts w:hint="eastAsia"/>
          <w:lang w:val="en-US" w:eastAsia="zh-CN"/>
        </w:rPr>
      </w:pPr>
      <w:r>
        <w:rPr>
          <w:rFonts w:hint="eastAsia"/>
          <w:lang w:val="en-US" w:eastAsia="zh-CN"/>
        </w:rPr>
        <w:t>制造商应根据软件系统在最不利的情况下促成的危险情况引发的对患者、操作者或其他人员伤害的风险、赋予每个软件系统一个软件安全级别（A、B或C）。</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下列情况下软件系统的安全级别为A：</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——软件系统不可能促成危险情况：</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——在考虑外部风险控制措施后，软件系统可能促成不导致不可接受风险的危险情况。</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下列情况下软件系统的软件安全级别为B：</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——在考虑外部风险控制措施后，软件系统可能促成导致不可接受风险的危险情况，且导致的可能伤害是非严重损伤。</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下列情况下软件系统的软件安全级别为C：</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——在考虑外部风险控制措施后，如软件系统可能促成导致不可接受风险的危险情况，且导致的可能伤害是死亡或严重损伤。</w:t>
      </w:r>
    </w:p>
    <w:p>
      <w:pPr>
        <w:pStyle w:val="2"/>
        <w:numPr>
          <w:ilvl w:val="0"/>
          <w:numId w:val="0"/>
        </w:numPr>
        <w:ind w:left="420" w:leftChars="0" w:right="1470" w:rightChars="700" w:firstLine="630" w:firstLineChars="300"/>
        <w:rPr>
          <w:rFonts w:hint="default"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对于最初分类为软件安全级别B或C的软件系统，制造商可以实施软件系统外部附加风险控制措施（包括修改含有软件系统的系统体系结构），并在随后为软件系统赋予新的软件安全级别。</w:t>
      </w:r>
    </w:p>
    <w:p>
      <w:pPr>
        <w:numPr>
          <w:ilvl w:val="0"/>
          <w:numId w:val="0"/>
        </w:numPr>
        <w:ind w:firstLine="420" w:firstLineChars="0"/>
        <w:rPr>
          <w:rFonts w:hint="eastAsia"/>
          <w:lang w:val="en-US" w:eastAsia="zh-CN"/>
        </w:rPr>
      </w:pPr>
      <w:r>
        <w:rPr>
          <w:rFonts w:hint="eastAsia"/>
          <w:lang w:val="en-US" w:eastAsia="zh-CN"/>
        </w:rPr>
        <w:t>b) 制造商应在风险管理文档中将赋予每个软件系统的软件安全级别形成文件。</w:t>
      </w:r>
    </w:p>
    <w:p>
      <w:pPr>
        <w:numPr>
          <w:ilvl w:val="0"/>
          <w:numId w:val="0"/>
        </w:numPr>
        <w:ind w:firstLine="420" w:firstLineChars="0"/>
        <w:rPr>
          <w:rFonts w:hint="eastAsia"/>
          <w:lang w:val="en-US" w:eastAsia="zh-CN"/>
        </w:rPr>
      </w:pPr>
      <w:r>
        <w:rPr>
          <w:rFonts w:hint="eastAsia"/>
          <w:lang w:val="en-US" w:eastAsia="zh-CN"/>
        </w:rPr>
        <w:t>c) 当一个软件系统分解为多个软件项，及当一个软件项又进一步分解为多个软件项时，此类软件项应继承原软件项（或软件系统）的软件安全级别，除非制造商以文件形式说明分类为不同软件安全级别的理由【根据4.3 a)用“软件项”替换“软件系统”赋予的软件安全级别】。此类理由说明应解释新的软件项如何被隔离，以便可对其单独分级。</w:t>
      </w:r>
    </w:p>
    <w:p>
      <w:pPr>
        <w:numPr>
          <w:ilvl w:val="0"/>
          <w:numId w:val="0"/>
        </w:numPr>
        <w:ind w:firstLine="420" w:firstLineChars="0"/>
        <w:rPr>
          <w:rFonts w:hint="eastAsia"/>
          <w:lang w:val="en-US" w:eastAsia="zh-CN"/>
        </w:rPr>
      </w:pPr>
      <w:r>
        <w:rPr>
          <w:rFonts w:hint="eastAsia"/>
          <w:lang w:val="en-US" w:eastAsia="zh-CN"/>
        </w:rPr>
        <w:t>d) 如果以分解方式产生的软件项的安全级别与其原软件项不同，制造商应每个此类软件项的软件安全级别形成文件。</w:t>
      </w:r>
    </w:p>
    <w:p>
      <w:pPr>
        <w:numPr>
          <w:ilvl w:val="0"/>
          <w:numId w:val="0"/>
        </w:numPr>
        <w:ind w:firstLine="420" w:firstLineChars="0"/>
        <w:rPr>
          <w:rFonts w:hint="default"/>
          <w:lang w:val="en-US" w:eastAsia="zh-CN"/>
        </w:rPr>
      </w:pPr>
      <w:r>
        <w:rPr>
          <w:rFonts w:hint="eastAsia"/>
          <w:lang w:val="en-US" w:eastAsia="zh-CN"/>
        </w:rPr>
        <w:t>e) 为符合本标准，当本标准应用于一组软件项时，制造商应使用此组中级别最高的软件项所要求的诸过程和任务，除非制造商在风险管理文档中将使用较低级别的理由说明形成文件。</w:t>
      </w:r>
    </w:p>
    <w:p>
      <w:pPr>
        <w:numPr>
          <w:ilvl w:val="0"/>
          <w:numId w:val="0"/>
        </w:numPr>
        <w:ind w:firstLine="420" w:firstLineChars="0"/>
        <w:rPr>
          <w:rFonts w:hint="default"/>
          <w:lang w:val="en-US" w:eastAsia="zh-CN"/>
        </w:rPr>
      </w:pPr>
      <w:r>
        <w:rPr>
          <w:rFonts w:hint="eastAsia"/>
          <w:lang w:val="en-US" w:eastAsia="zh-CN"/>
        </w:rPr>
        <w:t>f) 对每个软件系统，在赋予软件安全级别以前，均应应用C级要求。</w:t>
      </w:r>
    </w:p>
    <w:p>
      <w:pPr>
        <w:pStyle w:val="3"/>
        <w:numPr>
          <w:ilvl w:val="0"/>
          <w:numId w:val="2"/>
        </w:numPr>
        <w:bidi w:val="0"/>
        <w:rPr>
          <w:rFonts w:hint="default"/>
          <w:lang w:val="en-US" w:eastAsia="zh-CN"/>
        </w:rPr>
      </w:pPr>
      <w:bookmarkStart w:id="6" w:name="_Toc1214"/>
      <w:r>
        <w:rPr>
          <w:rFonts w:hint="default"/>
          <w:lang w:eastAsia="zh-CN"/>
        </w:rPr>
        <w:t>安全性级别</w:t>
      </w:r>
      <w:r>
        <w:rPr>
          <w:rFonts w:hint="eastAsia"/>
          <w:lang w:eastAsia="zh-CN"/>
        </w:rPr>
        <w:t>分析</w:t>
      </w:r>
      <w:bookmarkEnd w:id="6"/>
    </w:p>
    <w:p>
      <w:pPr>
        <w:bidi w:val="0"/>
        <w:ind w:firstLine="420" w:firstLineChars="200"/>
        <w:rPr>
          <w:rFonts w:hint="eastAsia"/>
          <w:lang w:val="en-US" w:eastAsia="zh-CN"/>
        </w:rPr>
      </w:pPr>
      <w:r>
        <w:rPr>
          <w:rFonts w:hint="eastAsia"/>
          <w:lang w:val="en-US" w:eastAsia="zh-CN"/>
        </w:rPr>
        <w:t>由于MS-001规划软件预期用途是用于骨外科开放或经皮手术的导航定位，并不直接参与手术过程，因此不可能会导致死亡或者严重伤害的情况。但是软件在使用过程当中由于使用者错误操作或者软件自身原因会对使用者的判断造成干扰，可能会产生非严重损伤，因此我们将软件的安全性级别初步判定为B级。</w:t>
      </w:r>
      <w:bookmarkStart w:id="7" w:name="_GoBack"/>
      <w:bookmarkEnd w:id="7"/>
    </w:p>
    <w:p>
      <w:pPr>
        <w:rPr>
          <w:rFonts w:hint="default"/>
          <w:lang w:val="en-US" w:eastAsia="zh-CN"/>
        </w:rPr>
      </w:pPr>
    </w:p>
    <w:sectPr>
      <w:footerReference r:id="rId13"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1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p>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r>
      <w:pict>
        <v:shape id="PowerPlusWaterMarkObject31080220" o:spid="_x0000_s2053"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pPr>
    <w:r>
      <w:pict>
        <v:shape id="PowerPlusWaterMarkObject31080218" o:spid="_x0000_s2051"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0FDE"/>
    <w:multiLevelType w:val="multilevel"/>
    <w:tmpl w:val="88B30FDE"/>
    <w:lvl w:ilvl="0" w:tentative="0">
      <w:start w:val="1"/>
      <w:numFmt w:val="decimal"/>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DF030741"/>
    <w:multiLevelType w:val="multilevel"/>
    <w:tmpl w:val="DF030741"/>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347C033A"/>
    <w:multiLevelType w:val="singleLevel"/>
    <w:tmpl w:val="347C033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000000"/>
    <w:rsid w:val="01121891"/>
    <w:rsid w:val="02936A01"/>
    <w:rsid w:val="032073DF"/>
    <w:rsid w:val="042A0CA0"/>
    <w:rsid w:val="06C24BED"/>
    <w:rsid w:val="08716E9D"/>
    <w:rsid w:val="08B85456"/>
    <w:rsid w:val="0B9730BE"/>
    <w:rsid w:val="0D186481"/>
    <w:rsid w:val="0EF24D4F"/>
    <w:rsid w:val="0F581076"/>
    <w:rsid w:val="11297400"/>
    <w:rsid w:val="13533D6F"/>
    <w:rsid w:val="150A7A58"/>
    <w:rsid w:val="157D2F01"/>
    <w:rsid w:val="164A6ADF"/>
    <w:rsid w:val="16B20DAC"/>
    <w:rsid w:val="176019A8"/>
    <w:rsid w:val="17A82420"/>
    <w:rsid w:val="181A4D9C"/>
    <w:rsid w:val="18A65811"/>
    <w:rsid w:val="18C73741"/>
    <w:rsid w:val="1901477D"/>
    <w:rsid w:val="19061883"/>
    <w:rsid w:val="19397563"/>
    <w:rsid w:val="1B3A7953"/>
    <w:rsid w:val="1BF13C8C"/>
    <w:rsid w:val="1D4061DB"/>
    <w:rsid w:val="1FEE2AA9"/>
    <w:rsid w:val="200D34F7"/>
    <w:rsid w:val="206D3F96"/>
    <w:rsid w:val="24C50845"/>
    <w:rsid w:val="26321F0A"/>
    <w:rsid w:val="27F21CAC"/>
    <w:rsid w:val="2936586D"/>
    <w:rsid w:val="2BED4C7D"/>
    <w:rsid w:val="2CC969F8"/>
    <w:rsid w:val="2D2F2CFF"/>
    <w:rsid w:val="2D99461C"/>
    <w:rsid w:val="2FA15A0A"/>
    <w:rsid w:val="33C5616B"/>
    <w:rsid w:val="33E321A9"/>
    <w:rsid w:val="354B1D00"/>
    <w:rsid w:val="36451395"/>
    <w:rsid w:val="372E152A"/>
    <w:rsid w:val="39A868D4"/>
    <w:rsid w:val="3AEF7F72"/>
    <w:rsid w:val="3CCB6514"/>
    <w:rsid w:val="3D5A265A"/>
    <w:rsid w:val="40BA692C"/>
    <w:rsid w:val="43BF2BD7"/>
    <w:rsid w:val="461865CE"/>
    <w:rsid w:val="47C4658A"/>
    <w:rsid w:val="487E78A6"/>
    <w:rsid w:val="4A237E0C"/>
    <w:rsid w:val="4AF06890"/>
    <w:rsid w:val="4BB45CBF"/>
    <w:rsid w:val="4C865C08"/>
    <w:rsid w:val="4D0E4287"/>
    <w:rsid w:val="4D7456B8"/>
    <w:rsid w:val="4EF31C6D"/>
    <w:rsid w:val="500E5C26"/>
    <w:rsid w:val="5229185E"/>
    <w:rsid w:val="52334785"/>
    <w:rsid w:val="539B04A0"/>
    <w:rsid w:val="541C54DC"/>
    <w:rsid w:val="54DB35B5"/>
    <w:rsid w:val="5A280562"/>
    <w:rsid w:val="5BC11829"/>
    <w:rsid w:val="5C3A61EC"/>
    <w:rsid w:val="5E5F0DE7"/>
    <w:rsid w:val="5E9B7945"/>
    <w:rsid w:val="601267AB"/>
    <w:rsid w:val="609B00D0"/>
    <w:rsid w:val="60A74B35"/>
    <w:rsid w:val="60E70C20"/>
    <w:rsid w:val="6125059E"/>
    <w:rsid w:val="62BB01A8"/>
    <w:rsid w:val="646F78AA"/>
    <w:rsid w:val="67BB18A5"/>
    <w:rsid w:val="68DC3034"/>
    <w:rsid w:val="6C953C26"/>
    <w:rsid w:val="71133B14"/>
    <w:rsid w:val="757D0B44"/>
    <w:rsid w:val="77334767"/>
    <w:rsid w:val="77514BED"/>
    <w:rsid w:val="792702FB"/>
    <w:rsid w:val="7A8B6668"/>
    <w:rsid w:val="7C0227C1"/>
    <w:rsid w:val="7CC179D9"/>
    <w:rsid w:val="7DD730B0"/>
    <w:rsid w:val="BED9C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3">
    <w:name w:val="heading 1"/>
    <w:basedOn w:val="1"/>
    <w:next w:val="1"/>
    <w:link w:val="19"/>
    <w:qFormat/>
    <w:uiPriority w:val="0"/>
    <w:pPr>
      <w:keepNext/>
      <w:keepLines/>
      <w:spacing w:before="100" w:after="100" w:line="480" w:lineRule="auto"/>
      <w:outlineLvl w:val="0"/>
    </w:pPr>
    <w:rPr>
      <w:rFonts w:ascii="Times New Roman" w:hAnsi="Times New Roman" w:eastAsia="宋体" w:cs="Arial"/>
      <w:b/>
      <w:bCs/>
      <w:kern w:val="44"/>
      <w:sz w:val="28"/>
      <w:szCs w:val="44"/>
    </w:rPr>
  </w:style>
  <w:style w:type="paragraph" w:styleId="4">
    <w:name w:val="heading 2"/>
    <w:basedOn w:val="1"/>
    <w:next w:val="1"/>
    <w:unhideWhenUsed/>
    <w:qFormat/>
    <w:uiPriority w:val="0"/>
    <w:pPr>
      <w:keepNext/>
      <w:keepLines/>
      <w:numPr>
        <w:ilvl w:val="1"/>
        <w:numId w:val="1"/>
      </w:numPr>
      <w:spacing w:before="100" w:after="100" w:line="480" w:lineRule="auto"/>
      <w:ind w:left="573" w:hanging="573"/>
      <w:outlineLvl w:val="1"/>
    </w:pPr>
    <w:rPr>
      <w:rFonts w:ascii="Arial" w:hAnsi="Arial" w:eastAsia="宋体" w:cs="Arial"/>
      <w:b/>
      <w:bCs/>
      <w:sz w:val="24"/>
      <w:szCs w:val="32"/>
    </w:rPr>
  </w:style>
  <w:style w:type="paragraph" w:styleId="5">
    <w:name w:val="heading 3"/>
    <w:basedOn w:val="1"/>
    <w:next w:val="1"/>
    <w:semiHidden/>
    <w:unhideWhenUsed/>
    <w:qFormat/>
    <w:uiPriority w:val="0"/>
    <w:pPr>
      <w:keepNext/>
      <w:keepLines/>
      <w:numPr>
        <w:ilvl w:val="2"/>
        <w:numId w:val="1"/>
      </w:numPr>
      <w:spacing w:before="100" w:after="100" w:line="480" w:lineRule="auto"/>
      <w:outlineLvl w:val="2"/>
    </w:pPr>
    <w:rPr>
      <w:rFonts w:ascii="Arial" w:hAnsi="Arial" w:eastAsia="宋体" w:cs="Arial"/>
      <w:b/>
      <w:bCs/>
      <w:sz w:val="24"/>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afterLines="0" w:afterAutospacing="0"/>
      <w:ind w:left="1440" w:leftChars="700" w:rightChars="7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Char"/>
    <w:link w:val="3"/>
    <w:qFormat/>
    <w:uiPriority w:val="9"/>
    <w:rPr>
      <w:rFonts w:ascii="Times New Roman" w:hAnsi="Times New Roman" w:eastAsia="宋体" w:cs="Arial"/>
      <w:b/>
      <w:bCs/>
      <w:kern w:val="44"/>
      <w:sz w:val="28"/>
      <w:szCs w:val="44"/>
    </w:rPr>
  </w:style>
  <w:style w:type="paragraph" w:customStyle="1" w:styleId="20">
    <w:name w:val="表格文本"/>
    <w:basedOn w:val="1"/>
    <w:qFormat/>
    <w:uiPriority w:val="0"/>
    <w:pPr>
      <w:tabs>
        <w:tab w:val="left" w:pos="420"/>
      </w:tabs>
      <w:spacing w:line="240" w:lineRule="auto"/>
      <w:ind w:firstLine="0" w:firstLineChars="0"/>
    </w:pPr>
    <w:rPr>
      <w:sz w:val="21"/>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1254</Words>
  <Characters>1302</Characters>
  <Lines>0</Lines>
  <Paragraphs>0</Paragraphs>
  <TotalTime>4</TotalTime>
  <ScaleCrop>false</ScaleCrop>
  <LinksUpToDate>false</LinksUpToDate>
  <CharactersWithSpaces>1323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2021-11-17T11:37:00Z</dcterms:created>
  <dc:creator>pdc14</dc:creator>
  <cp:lastModifiedBy>wuhui</cp:lastModifiedBy>
  <dcterms:modified xsi:type="dcterms:W3CDTF">2022-12-06T06:58:02Z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C4FE79B3D8B14836B3F59D6D654D4C69</vt:lpwstr>
  </property>
</Properties>
</file>