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3.4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MS001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-A</w:t>
                  </w:r>
                  <w:r>
                    <w:rPr>
                      <w:rFonts w:hint="eastAsia"/>
                      <w:sz w:val="21"/>
                      <w:szCs w:val="21"/>
                    </w:rPr>
                    <w:t>.0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.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001MS.1.0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1" o:spid="_x0000_s2051" o:spt="202" type="#_x0000_t202" style="position:absolute;left:0pt;margin-left:-85.05pt;margin-top:14.15pt;height:60.6pt;width:526.7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2052" o:spid="_x0000_s2052" o:spt="202" type="#_x0000_t202" style="position:absolute;left:0pt;margin-left:-86.45pt;margin-top:9.3pt;height:60.6pt;width:529.15pt;z-index:251663360;mso-width-relative:page;mso-height-relative:page;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规划软件维护计划摘要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72.7pt;margin-top:30.9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6.25pt;margin-top:282.1pt;height:34.4pt;width:527.9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_Toc17618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cs="Arial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_Toc17618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_Toc6098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软件维护的策略</w:t>
      </w:r>
      <w:r>
        <w:tab/>
      </w:r>
      <w:r>
        <w:fldChar w:fldCharType="begin"/>
      </w:r>
      <w:r>
        <w:instrText xml:space="preserve"> PAGEREF _Toc6098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_Toc13481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r>
        <w:tab/>
      </w:r>
      <w:r>
        <w:fldChar w:fldCharType="begin"/>
      </w:r>
      <w:r>
        <w:instrText xml:space="preserve"> PAGEREF _Toc13481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适应性维护</w:t>
      </w:r>
      <w:r>
        <w:tab/>
      </w:r>
      <w:r>
        <w:fldChar w:fldCharType="begin"/>
      </w:r>
      <w:r>
        <w:instrText xml:space="preserve"> PAGEREF _Toc1806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_Toc5589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t>完善性维护</w:t>
      </w:r>
      <w:r>
        <w:tab/>
      </w:r>
      <w:r>
        <w:fldChar w:fldCharType="begin"/>
      </w:r>
      <w:r>
        <w:instrText xml:space="preserve"> PAGEREF _Toc5589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预防性维护</w:t>
      </w:r>
      <w:r>
        <w:tab/>
      </w:r>
      <w:r>
        <w:fldChar w:fldCharType="begin"/>
      </w:r>
      <w:r>
        <w:instrText xml:space="preserve"> PAGEREF _Toc5516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_Toc6261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t>维护递交</w:t>
      </w:r>
      <w:r>
        <w:tab/>
      </w:r>
      <w:r>
        <w:fldChar w:fldCharType="begin"/>
      </w:r>
      <w:r>
        <w:instrText xml:space="preserve"> PAGEREF _Toc6261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_Toc14084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递交计划</w:t>
      </w:r>
      <w:r>
        <w:tab/>
      </w:r>
      <w:r>
        <w:fldChar w:fldCharType="begin"/>
      </w:r>
      <w:r>
        <w:instrText xml:space="preserve"> PAGEREF _Toc14084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递交内容</w:t>
      </w:r>
      <w:r>
        <w:tab/>
      </w:r>
      <w:r>
        <w:fldChar w:fldCharType="begin"/>
      </w:r>
      <w:r>
        <w:instrText xml:space="preserve"> PAGEREF _Toc7464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_Toc15926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维护过程管理</w:t>
      </w:r>
      <w:r>
        <w:tab/>
      </w:r>
      <w:r>
        <w:fldChar w:fldCharType="begin"/>
      </w:r>
      <w:r>
        <w:instrText xml:space="preserve"> PAGEREF _Toc15926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_Toc21963 </w:instrText>
      </w:r>
      <w:r>
        <w:rPr>
          <w:rFonts w:hint="eastAsia"/>
        </w:rPr>
        <w:fldChar w:fldCharType="separate"/>
      </w:r>
      <w:r>
        <w:rPr>
          <w:rFonts w:hint="default"/>
          <w:szCs w:val="28"/>
        </w:rPr>
        <w:t xml:space="preserve">4.1. </w:t>
      </w:r>
      <w:r>
        <w:rPr>
          <w:rFonts w:hint="eastAsia"/>
          <w:szCs w:val="28"/>
          <w:lang w:val="en-US" w:eastAsia="zh-CN"/>
        </w:rPr>
        <w:t>纠</w:t>
      </w:r>
      <w:r>
        <w:rPr>
          <w:rFonts w:hint="eastAsia"/>
          <w:szCs w:val="28"/>
        </w:rPr>
        <w:t>正性维护</w:t>
      </w:r>
      <w:r>
        <w:tab/>
      </w:r>
      <w:r>
        <w:fldChar w:fldCharType="begin"/>
      </w:r>
      <w:r>
        <w:instrText xml:space="preserve"> PAGEREF _Toc21963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_Toc32580 </w:instrText>
      </w:r>
      <w:r>
        <w:rPr>
          <w:rFonts w:hint="eastAsia"/>
        </w:rPr>
        <w:fldChar w:fldCharType="separate"/>
      </w:r>
      <w:r>
        <w:rPr>
          <w:rFonts w:hint="default"/>
          <w:szCs w:val="24"/>
        </w:rPr>
        <w:t xml:space="preserve">4.2. </w:t>
      </w:r>
      <w:r>
        <w:rPr>
          <w:rFonts w:hint="eastAsia"/>
          <w:szCs w:val="28"/>
        </w:rPr>
        <w:t>适应性</w:t>
      </w:r>
      <w:r>
        <w:rPr>
          <w:rFonts w:hint="eastAsia"/>
          <w:szCs w:val="24"/>
        </w:rPr>
        <w:t>维护、完善性维护、预防性维护</w:t>
      </w:r>
      <w:r>
        <w:tab/>
      </w:r>
      <w:r>
        <w:fldChar w:fldCharType="begin"/>
      </w:r>
      <w:r>
        <w:instrText xml:space="preserve"> PAGEREF _Toc32580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506972944"/>
      <w:bookmarkStart w:id="1" w:name="_Toc15659"/>
    </w:p>
    <w:bookmarkEnd w:id="0"/>
    <w:bookmarkEnd w:id="1"/>
    <w:p>
      <w:pPr>
        <w:pStyle w:val="2"/>
        <w:spacing w:before="312" w:after="312"/>
      </w:pPr>
      <w:bookmarkStart w:id="2" w:name="_Toc29950"/>
      <w:bookmarkStart w:id="3" w:name="_Toc17618"/>
      <w:bookmarkStart w:id="4" w:name="_Toc23619"/>
      <w:r>
        <w:rPr>
          <w:rFonts w:hint="eastAsia" w:cs="Arial"/>
          <w:lang w:val="en-US" w:eastAsia="zh-CN"/>
        </w:rPr>
        <w:t>目的</w:t>
      </w:r>
      <w:bookmarkEnd w:id="2"/>
      <w:bookmarkEnd w:id="3"/>
      <w:bookmarkEnd w:id="4"/>
    </w:p>
    <w:p>
      <w:pPr>
        <w:spacing w:before="156" w:after="156"/>
        <w:ind w:firstLine="480" w:firstLineChars="20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MS-001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维护计划，包括了递交给维护团队的内容、维护过程方法。</w:t>
      </w:r>
    </w:p>
    <w:p>
      <w:pPr>
        <w:pStyle w:val="2"/>
        <w:spacing w:before="312" w:after="312"/>
      </w:pPr>
      <w:bookmarkStart w:id="5" w:name="_Toc28049"/>
      <w:bookmarkStart w:id="6" w:name="_Toc6098"/>
      <w:bookmarkStart w:id="7" w:name="_Toc15111"/>
      <w:bookmarkStart w:id="8" w:name="_Toc20569"/>
      <w:bookmarkStart w:id="9" w:name="_Toc506972951"/>
      <w:r>
        <w:rPr>
          <w:rFonts w:hint="eastAsia"/>
          <w:lang w:val="en-US" w:eastAsia="zh-CN"/>
        </w:rPr>
        <w:t>软件维护的策略</w:t>
      </w:r>
      <w:bookmarkEnd w:id="5"/>
      <w:bookmarkEnd w:id="6"/>
      <w:bookmarkEnd w:id="7"/>
    </w:p>
    <w:p>
      <w:pPr>
        <w:pStyle w:val="3"/>
        <w:bidi w:val="0"/>
        <w:rPr>
          <w:rFonts w:hint="eastAsia"/>
        </w:rPr>
      </w:pPr>
      <w:bookmarkStart w:id="10" w:name="_Toc13481"/>
      <w:bookmarkStart w:id="11" w:name="_Toc20801"/>
      <w:bookmarkStart w:id="12" w:name="_Toc2706"/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由于系统测试不可能揭露系统存在的所有错误，因此在系统投入运行后频繁的实际应用过程中，就有可能暴露出系统内隐藏的错误。</w:t>
      </w:r>
      <w:r>
        <w:rPr>
          <w:rFonts w:hint="eastAsia"/>
        </w:rPr>
        <w:t>为了识别和纠正软件错误、改正软件性能上的缺陷、排除实施中的误用，应当进行的诊断和改正错误的过程叫做</w:t>
      </w:r>
      <w:r>
        <w:rPr>
          <w:rFonts w:hint="eastAsia"/>
          <w:lang w:val="en-US" w:eastAsia="zh-CN"/>
        </w:rPr>
        <w:t>纠</w:t>
      </w:r>
      <w:r>
        <w:rPr>
          <w:rFonts w:hint="eastAsia"/>
        </w:rPr>
        <w:t>正性维护。</w:t>
      </w:r>
    </w:p>
    <w:bookmarkEnd w:id="8"/>
    <w:bookmarkEnd w:id="9"/>
    <w:p>
      <w:pPr>
        <w:pStyle w:val="3"/>
        <w:bidi w:val="0"/>
        <w:rPr>
          <w:rFonts w:hint="eastAsia"/>
        </w:rPr>
      </w:pPr>
      <w:bookmarkStart w:id="13" w:name="_Toc1806"/>
      <w:bookmarkStart w:id="14" w:name="_Toc32192"/>
      <w:bookmarkStart w:id="15" w:name="_Toc14980"/>
      <w:r>
        <w:rPr>
          <w:rFonts w:hint="eastAsia"/>
        </w:rPr>
        <w:t>适应性维护</w:t>
      </w:r>
      <w:bookmarkEnd w:id="13"/>
      <w:bookmarkEnd w:id="14"/>
      <w:bookmarkEnd w:id="15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在使用环境中，外部环境（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新的硬件、软件配置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）、数据环境（数据格式、数据输入/输出方式）可能发生变化，为使软件适应这种变化，而去修改软件的过程就叫做适应性维护。</w:t>
      </w:r>
    </w:p>
    <w:p>
      <w:pPr>
        <w:pStyle w:val="3"/>
        <w:bidi w:val="0"/>
        <w:rPr>
          <w:rFonts w:hint="eastAsia"/>
        </w:rPr>
      </w:pPr>
      <w:bookmarkStart w:id="16" w:name="_Toc20180"/>
      <w:bookmarkStart w:id="17" w:name="_Toc3091"/>
      <w:bookmarkStart w:id="18" w:name="_Toc5589"/>
      <w:r>
        <w:t>完善性维护</w:t>
      </w:r>
      <w:bookmarkEnd w:id="16"/>
      <w:bookmarkEnd w:id="17"/>
      <w:bookmarkEnd w:id="18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实践表明，在几种维护活动中，完善性维护所占的比重最大。即大部分维护工作</w:t>
      </w:r>
      <w:r>
        <w:rPr>
          <w:rFonts w:hint="eastAsia"/>
          <w:lang w:eastAsia="zh-CN"/>
        </w:rPr>
        <w:t>是</w:t>
      </w:r>
      <w:r>
        <w:rPr>
          <w:rFonts w:hint="eastAsia"/>
        </w:rPr>
        <w:t>改变和加强软件，而不是纠错。完善性维护不一定是救</w:t>
      </w:r>
      <w:r>
        <w:rPr>
          <w:rFonts w:hint="eastAsia"/>
          <w:lang w:val="en-US" w:eastAsia="zh-CN"/>
        </w:rPr>
        <w:t>火</w:t>
      </w:r>
      <w:r>
        <w:rPr>
          <w:rFonts w:hint="eastAsia"/>
        </w:rPr>
        <w:t>式的紧急维修，而可以是有计划、有预谋的一种再开发活动。</w:t>
      </w:r>
    </w:p>
    <w:p>
      <w:pPr>
        <w:pStyle w:val="3"/>
        <w:bidi w:val="0"/>
        <w:rPr>
          <w:rFonts w:hint="eastAsia"/>
        </w:rPr>
      </w:pPr>
      <w:bookmarkStart w:id="19" w:name="_Toc31695"/>
      <w:bookmarkStart w:id="20" w:name="_Toc5516"/>
      <w:bookmarkStart w:id="21" w:name="_Toc44"/>
      <w:r>
        <w:rPr>
          <w:rFonts w:hint="eastAsia"/>
        </w:rPr>
        <w:t>预防性维护</w:t>
      </w:r>
      <w:bookmarkEnd w:id="19"/>
      <w:bookmarkEnd w:id="20"/>
      <w:bookmarkEnd w:id="2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采用先进的软件工程方法对需要维护的软件或软件中的某一部分（重新）进行设计、编码和测试。预防性维护是为了提高软件的可维护性、可靠性等，为以后进一步改进软件打下良好基础。</w:t>
      </w:r>
    </w:p>
    <w:p>
      <w:pPr>
        <w:pStyle w:val="2"/>
        <w:bidi w:val="0"/>
        <w:rPr>
          <w:rFonts w:hint="eastAsia"/>
        </w:rPr>
      </w:pPr>
      <w:bookmarkStart w:id="22" w:name="_Toc48637274"/>
      <w:bookmarkStart w:id="23" w:name="_Toc6677"/>
      <w:bookmarkStart w:id="24" w:name="_Toc6261"/>
      <w:bookmarkStart w:id="25" w:name="_Toc20758"/>
      <w:r>
        <w:t>维护递交</w:t>
      </w:r>
      <w:bookmarkEnd w:id="22"/>
      <w:bookmarkEnd w:id="23"/>
      <w:bookmarkEnd w:id="24"/>
      <w:bookmarkEnd w:id="25"/>
    </w:p>
    <w:p>
      <w:pPr>
        <w:pStyle w:val="3"/>
        <w:rPr>
          <w:rFonts w:hint="eastAsia"/>
        </w:rPr>
      </w:pPr>
      <w:bookmarkStart w:id="26" w:name="_Toc14084"/>
      <w:bookmarkStart w:id="27" w:name="_Toc26305"/>
      <w:bookmarkStart w:id="28" w:name="_Toc30580"/>
      <w:r>
        <w:rPr>
          <w:rFonts w:hint="eastAsia"/>
        </w:rPr>
        <w:t>递交计划</w:t>
      </w:r>
      <w:bookmarkEnd w:id="26"/>
      <w:bookmarkEnd w:id="27"/>
      <w:bookmarkEnd w:id="28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当开发文件交付生产并确认后，开发团队开始把递交内容交付给维护团队</w:t>
      </w:r>
      <w:r>
        <w:rPr>
          <w:rFonts w:hint="eastAsia"/>
          <w:lang w:val="en-US" w:eastAsia="zh-CN"/>
        </w:rPr>
        <w:t>。</w:t>
      </w:r>
    </w:p>
    <w:tbl>
      <w:tblPr>
        <w:tblStyle w:val="29"/>
        <w:tblpPr w:leftFromText="180" w:rightFromText="180" w:vertAnchor="text" w:horzAnchor="margin" w:tblpXSpec="right" w:tblpY="2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递交内容递交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  <w:lang w:val="en-US" w:eastAsia="zh-CN"/>
              </w:rPr>
              <w:t>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搭建开发环境、测试环境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</w:tbl>
    <w:p>
      <w:pPr>
        <w:ind w:left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9" w:name="_Toc31348"/>
      <w:bookmarkStart w:id="30" w:name="_Toc8502"/>
      <w:bookmarkStart w:id="31" w:name="_Toc7464"/>
      <w:r>
        <w:rPr>
          <w:rFonts w:hint="eastAsia"/>
        </w:rPr>
        <w:t>递交内容</w:t>
      </w:r>
      <w:bookmarkEnd w:id="29"/>
      <w:bookmarkEnd w:id="30"/>
      <w:bookmarkEnd w:id="31"/>
    </w:p>
    <w:tbl>
      <w:tblPr>
        <w:tblStyle w:val="29"/>
        <w:tblW w:w="7740" w:type="dxa"/>
        <w:tblInd w:w="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5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85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产品技术需</w:t>
            </w:r>
            <w:bookmarkStart w:id="40" w:name="_GoBack"/>
            <w:bookmarkEnd w:id="40"/>
            <w:r>
              <w:rPr>
                <w:rFonts w:hint="eastAsia"/>
              </w:rPr>
              <w:t>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规划软件概要设计</w:t>
            </w:r>
            <w:r>
              <w:rPr>
                <w:rFonts w:hint="eastAsia"/>
                <w:lang w:val="en-US" w:eastAsia="zh-CN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规划软件测试</w:t>
            </w:r>
            <w:r>
              <w:rPr>
                <w:rFonts w:hint="eastAsia"/>
                <w:lang w:val="en-US" w:eastAsia="zh-CN"/>
              </w:rPr>
              <w:t>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规划软件测试用例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规划软件源代码</w:t>
            </w:r>
          </w:p>
        </w:tc>
      </w:tr>
    </w:tbl>
    <w:p>
      <w:pPr>
        <w:pStyle w:val="2"/>
        <w:bidi w:val="0"/>
        <w:rPr>
          <w:rFonts w:hint="eastAsia"/>
        </w:rPr>
      </w:pPr>
      <w:bookmarkStart w:id="32" w:name="_Toc21712"/>
      <w:bookmarkStart w:id="33" w:name="_Toc48637275"/>
      <w:bookmarkStart w:id="34" w:name="_Toc15926"/>
      <w:bookmarkStart w:id="35" w:name="_Toc16811"/>
      <w:r>
        <w:rPr>
          <w:rFonts w:hint="eastAsia"/>
        </w:rPr>
        <w:t>维护过程管理</w:t>
      </w:r>
      <w:bookmarkEnd w:id="32"/>
      <w:bookmarkEnd w:id="33"/>
      <w:bookmarkEnd w:id="34"/>
      <w:bookmarkEnd w:id="35"/>
    </w:p>
    <w:p>
      <w:pPr>
        <w:pStyle w:val="3"/>
        <w:ind w:left="720"/>
        <w:rPr>
          <w:sz w:val="24"/>
          <w:szCs w:val="28"/>
        </w:rPr>
      </w:pPr>
      <w:bookmarkStart w:id="36" w:name="_Toc22211"/>
      <w:bookmarkStart w:id="37" w:name="_Toc21963"/>
      <w:r>
        <w:rPr>
          <w:rFonts w:hint="eastAsia"/>
          <w:sz w:val="24"/>
          <w:szCs w:val="28"/>
          <w:lang w:val="en-US" w:eastAsia="zh-CN"/>
        </w:rPr>
        <w:t>纠</w:t>
      </w:r>
      <w:r>
        <w:rPr>
          <w:rFonts w:hint="eastAsia"/>
          <w:sz w:val="24"/>
          <w:szCs w:val="28"/>
        </w:rPr>
        <w:t>正性维护</w:t>
      </w:r>
      <w:bookmarkEnd w:id="36"/>
      <w:bookmarkEnd w:id="37"/>
    </w:p>
    <w:p>
      <w:pPr>
        <w:ind w:left="720"/>
      </w:pPr>
      <w:r>
        <w:drawing>
          <wp:inline distT="0" distB="0" distL="114300" distR="114300">
            <wp:extent cx="5114925" cy="6012815"/>
            <wp:effectExtent l="0" t="0" r="9525" b="6985"/>
            <wp:docPr id="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pStyle w:val="3"/>
        <w:ind w:left="720"/>
        <w:rPr>
          <w:sz w:val="24"/>
          <w:szCs w:val="24"/>
        </w:rPr>
      </w:pPr>
      <w:bookmarkStart w:id="38" w:name="_Toc32580"/>
      <w:bookmarkStart w:id="39" w:name="_Toc16945"/>
      <w:r>
        <w:rPr>
          <w:rFonts w:hint="eastAsia"/>
          <w:sz w:val="24"/>
          <w:szCs w:val="28"/>
        </w:rPr>
        <w:t>适应性</w:t>
      </w:r>
      <w:r>
        <w:rPr>
          <w:rFonts w:hint="eastAsia"/>
          <w:sz w:val="24"/>
          <w:szCs w:val="24"/>
        </w:rPr>
        <w:t>维护、完善性维护、预防性维护</w:t>
      </w:r>
      <w:bookmarkEnd w:id="38"/>
      <w:bookmarkEnd w:id="39"/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058410" cy="6181725"/>
            <wp:effectExtent l="0" t="0" r="8890" b="9525"/>
            <wp:docPr id="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25"/>
        </w:tabs>
        <w:rPr>
          <w:rFonts w:hint="eastAsia" w:ascii="ˎ̥" w:hAnsi="ˎ̥" w:cs="Arial"/>
          <w:color w:val="000000"/>
          <w:szCs w:val="21"/>
        </w:rPr>
      </w:pPr>
    </w:p>
    <w:p/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9CD2069"/>
    <w:rsid w:val="09F871EF"/>
    <w:rsid w:val="0B0B0691"/>
    <w:rsid w:val="0B2A764D"/>
    <w:rsid w:val="0BD134C6"/>
    <w:rsid w:val="0D677A30"/>
    <w:rsid w:val="0D820E9B"/>
    <w:rsid w:val="10214517"/>
    <w:rsid w:val="10D72462"/>
    <w:rsid w:val="15C24939"/>
    <w:rsid w:val="15D07A0F"/>
    <w:rsid w:val="16444FD4"/>
    <w:rsid w:val="17544DE4"/>
    <w:rsid w:val="188D03F8"/>
    <w:rsid w:val="18DF22A8"/>
    <w:rsid w:val="1907687E"/>
    <w:rsid w:val="19CE2367"/>
    <w:rsid w:val="1AF82C22"/>
    <w:rsid w:val="1B980332"/>
    <w:rsid w:val="1CBC7E29"/>
    <w:rsid w:val="1EFA772E"/>
    <w:rsid w:val="2017315C"/>
    <w:rsid w:val="20FB0C43"/>
    <w:rsid w:val="21D02AC2"/>
    <w:rsid w:val="23B802E6"/>
    <w:rsid w:val="26664B99"/>
    <w:rsid w:val="267605D9"/>
    <w:rsid w:val="288D4202"/>
    <w:rsid w:val="28E82A95"/>
    <w:rsid w:val="2AF463EF"/>
    <w:rsid w:val="2B6E3BCB"/>
    <w:rsid w:val="2DC81931"/>
    <w:rsid w:val="2FD15513"/>
    <w:rsid w:val="311E2EF7"/>
    <w:rsid w:val="328C2647"/>
    <w:rsid w:val="33795790"/>
    <w:rsid w:val="354221A0"/>
    <w:rsid w:val="35A77929"/>
    <w:rsid w:val="378F11AF"/>
    <w:rsid w:val="384C25C5"/>
    <w:rsid w:val="385D5E8A"/>
    <w:rsid w:val="387F4B11"/>
    <w:rsid w:val="38CD7F0B"/>
    <w:rsid w:val="392600CD"/>
    <w:rsid w:val="397A5F2F"/>
    <w:rsid w:val="39EF1629"/>
    <w:rsid w:val="3A0A0F66"/>
    <w:rsid w:val="3B1919C4"/>
    <w:rsid w:val="3C800B87"/>
    <w:rsid w:val="3E3944DC"/>
    <w:rsid w:val="3EAD3FF2"/>
    <w:rsid w:val="3FE96DB6"/>
    <w:rsid w:val="3FEC7653"/>
    <w:rsid w:val="427412E9"/>
    <w:rsid w:val="42867E0B"/>
    <w:rsid w:val="45F23889"/>
    <w:rsid w:val="46C740D6"/>
    <w:rsid w:val="48880215"/>
    <w:rsid w:val="4A711ED6"/>
    <w:rsid w:val="4ACB6DE8"/>
    <w:rsid w:val="4AD53E5C"/>
    <w:rsid w:val="4B6D6660"/>
    <w:rsid w:val="503716B9"/>
    <w:rsid w:val="552D5FC7"/>
    <w:rsid w:val="55A3251B"/>
    <w:rsid w:val="55A86353"/>
    <w:rsid w:val="55E44D10"/>
    <w:rsid w:val="56136418"/>
    <w:rsid w:val="56975C76"/>
    <w:rsid w:val="56AB7420"/>
    <w:rsid w:val="56B346C8"/>
    <w:rsid w:val="5A380204"/>
    <w:rsid w:val="5B817325"/>
    <w:rsid w:val="5E305792"/>
    <w:rsid w:val="5EAC59B2"/>
    <w:rsid w:val="60AE667E"/>
    <w:rsid w:val="63B80C56"/>
    <w:rsid w:val="6514410C"/>
    <w:rsid w:val="66336C28"/>
    <w:rsid w:val="6636079B"/>
    <w:rsid w:val="67F549E2"/>
    <w:rsid w:val="68ED6160"/>
    <w:rsid w:val="691A24A5"/>
    <w:rsid w:val="6E036BEE"/>
    <w:rsid w:val="6FBB6B4F"/>
    <w:rsid w:val="709F14BB"/>
    <w:rsid w:val="738E1D3F"/>
    <w:rsid w:val="74957F5F"/>
    <w:rsid w:val="74FC11AB"/>
    <w:rsid w:val="76E0667F"/>
    <w:rsid w:val="78105424"/>
    <w:rsid w:val="784E53FC"/>
    <w:rsid w:val="7E9B61C0"/>
    <w:rsid w:val="7FAC5B64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7</Pages>
  <Words>711</Words>
  <Characters>748</Characters>
  <Lines>48</Lines>
  <Paragraphs>13</Paragraphs>
  <TotalTime>0</TotalTime>
  <ScaleCrop>false</ScaleCrop>
  <LinksUpToDate>false</LinksUpToDate>
  <CharactersWithSpaces>777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2021-10-20T05:50:00Z</cp:lastPrinted>
  <dcterms:modified xsi:type="dcterms:W3CDTF">2022-12-06T07:05:12Z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