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line="240" w:lineRule="auto"/>
        <w:rPr>
          <w:rFonts w:ascii="宋体" w:hAnsi="宋体" w:cs="宋体"/>
          <w:b/>
          <w:kern w:val="0"/>
          <w:szCs w:val="21"/>
        </w:rPr>
      </w:pPr>
      <w:r>
        <mc:AlternateContent>
          <mc:Choice Requires="wps">
            <w:drawing>
              <wp:anchor distT="0" distB="0" distL="114300" distR="114300" simplePos="0" relativeHeight="251660288" behindDoc="0" locked="0" layoutInCell="1" allowOverlap="1">
                <wp:simplePos x="0" y="0"/>
                <wp:positionH relativeFrom="column">
                  <wp:posOffset>3070860</wp:posOffset>
                </wp:positionH>
                <wp:positionV relativeFrom="paragraph">
                  <wp:posOffset>43815</wp:posOffset>
                </wp:positionV>
                <wp:extent cx="2463165" cy="521970"/>
                <wp:effectExtent l="0" t="0" r="13335" b="11430"/>
                <wp:wrapNone/>
                <wp:docPr id="2" name="文本框 2"/>
                <wp:cNvGraphicFramePr/>
                <a:graphic xmlns:a="http://schemas.openxmlformats.org/drawingml/2006/main">
                  <a:graphicData uri="http://schemas.microsoft.com/office/word/2010/wordprocessingShape">
                    <wps:wsp>
                      <wps:cNvSpPr txBox="1"/>
                      <wps:spPr>
                        <a:xfrm>
                          <a:off x="958215" y="1161415"/>
                          <a:ext cx="2463165" cy="521970"/>
                        </a:xfrm>
                        <a:prstGeom prst="rect">
                          <a:avLst/>
                        </a:prstGeom>
                        <a:solidFill>
                          <a:srgbClr val="FFFFFF"/>
                        </a:solidFill>
                        <a:ln w="6350">
                          <a:noFill/>
                        </a:ln>
                        <a:effectLst/>
                      </wps:spPr>
                      <wps:txbx>
                        <w:txbxContent>
                          <w:p>
                            <w:pPr>
                              <w:spacing w:before="156" w:after="156"/>
                            </w:pPr>
                            <w:r>
                              <w:rPr>
                                <w:rFonts w:hint="eastAsia"/>
                              </w:rPr>
                              <w:t>MS001-D.01.002SM.1.0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8pt;margin-top:3.45pt;height:41.1pt;width:193.95pt;z-index:251660288;mso-width-relative:page;mso-height-relative:page;" fillcolor="#FFFFFF" filled="t" stroked="f" coordsize="21600,21600" o:gfxdata="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w&#10;Rq/c1AAAAAgBAAAPAAAAAAAAAAEAIAAAACIAAABkcnMvZG93bnJldi54bWxQSwECFAAUAAAACACH&#10;TuJAk8V7GGECAACoBAAADgAAAAAAAAABACAAAAAjAQAAZHJzL2Uyb0RvYy54bWxQSwUGAAAAAAYA&#10;BgBZAQAA9gUAAAAA&#10;">
                <v:fill on="t" focussize="0,0"/>
                <v:stroke on="f" weight="0.5pt"/>
                <v:imagedata o:title=""/>
                <o:lock v:ext="edit" aspectratio="f"/>
                <v:textbox>
                  <w:txbxContent>
                    <w:p>
                      <w:pPr>
                        <w:spacing w:before="156" w:after="156"/>
                      </w:pPr>
                      <w:r>
                        <w:rPr>
                          <w:rFonts w:hint="eastAsia"/>
                        </w:rPr>
                        <w:t>MS001-D.01.002SM.1.0</w:t>
                      </w:r>
                    </w:p>
                  </w:txbxContent>
                </v:textbox>
              </v:shape>
            </w:pict>
          </mc:Fallback>
        </mc:AlternateContent>
      </w:r>
    </w:p>
    <w:p>
      <w:pPr>
        <w:spacing w:before="156" w:after="156" w:line="240" w:lineRule="auto"/>
        <w:ind w:firstLine="422"/>
        <w:rPr>
          <w:rFonts w:ascii="宋体" w:hAnsi="宋体" w:cs="宋体"/>
          <w:b/>
          <w:kern w:val="0"/>
          <w:szCs w:val="21"/>
        </w:rPr>
      </w:pPr>
    </w:p>
    <w:p>
      <w:pPr>
        <w:spacing w:before="156" w:after="156" w:line="240" w:lineRule="auto"/>
      </w:pPr>
    </w:p>
    <w:p>
      <w:pPr>
        <w:spacing w:before="156" w:after="156" w:line="480" w:lineRule="auto"/>
        <w:rPr>
          <w:rFonts w:ascii="宋体" w:hAnsi="宋体" w:cs="宋体"/>
          <w:b/>
          <w:kern w:val="0"/>
          <w:sz w:val="28"/>
          <w:szCs w:val="28"/>
        </w:rPr>
      </w:pPr>
      <w:r>
        <mc:AlternateContent>
          <mc:Choice Requires="wps">
            <w:drawing>
              <wp:anchor distT="0" distB="0" distL="114300" distR="114300" simplePos="0" relativeHeight="251659264" behindDoc="0" locked="0" layoutInCell="1" allowOverlap="1">
                <wp:simplePos x="0" y="0"/>
                <wp:positionH relativeFrom="column">
                  <wp:posOffset>111760</wp:posOffset>
                </wp:positionH>
                <wp:positionV relativeFrom="paragraph">
                  <wp:posOffset>172720</wp:posOffset>
                </wp:positionV>
                <wp:extent cx="5053965" cy="1545590"/>
                <wp:effectExtent l="0" t="0" r="0" b="0"/>
                <wp:wrapNone/>
                <wp:docPr id="1" name="文本框 6"/>
                <wp:cNvGraphicFramePr/>
                <a:graphic xmlns:a="http://schemas.openxmlformats.org/drawingml/2006/main">
                  <a:graphicData uri="http://schemas.microsoft.com/office/word/2010/wordprocessingShape">
                    <wps:wsp>
                      <wps:cNvSpPr txBox="1"/>
                      <wps:spPr>
                        <a:xfrm>
                          <a:off x="0" y="0"/>
                          <a:ext cx="5053965" cy="1545590"/>
                        </a:xfrm>
                        <a:prstGeom prst="rect">
                          <a:avLst/>
                        </a:prstGeom>
                        <a:noFill/>
                        <a:ln w="6350">
                          <a:noFill/>
                        </a:ln>
                      </wps:spPr>
                      <wps:txbx>
                        <w:txbxContent>
                          <w:p>
                            <w:pPr>
                              <w:spacing w:before="156" w:after="156"/>
                              <w:ind w:firstLine="0" w:firstLineChars="0"/>
                              <w:jc w:val="center"/>
                              <w:rPr>
                                <w:rFonts w:ascii="黑体" w:hAnsi="黑体" w:eastAsia="黑体" w:cs="黑体"/>
                                <w:sz w:val="56"/>
                                <w:szCs w:val="96"/>
                              </w:rPr>
                            </w:pPr>
                            <w:r>
                              <w:rPr>
                                <w:rFonts w:hint="eastAsia" w:ascii="黑体" w:hAnsi="黑体" w:eastAsia="黑体" w:cs="黑体"/>
                                <w:sz w:val="56"/>
                                <w:szCs w:val="96"/>
                                <w:lang w:val="en-US" w:eastAsia="zh-CN"/>
                              </w:rPr>
                              <w:t>MS-001</w:t>
                            </w:r>
                            <w:r>
                              <w:rPr>
                                <w:rFonts w:hint="eastAsia" w:ascii="黑体" w:hAnsi="黑体" w:eastAsia="黑体" w:cs="黑体"/>
                                <w:sz w:val="56"/>
                                <w:szCs w:val="96"/>
                              </w:rPr>
                              <w:t xml:space="preserve"> </w:t>
                            </w:r>
                          </w:p>
                          <w:p>
                            <w:pPr>
                              <w:spacing w:before="156" w:after="156"/>
                              <w:ind w:firstLine="0" w:firstLineChars="0"/>
                              <w:jc w:val="center"/>
                              <w:rPr>
                                <w:rFonts w:ascii="黑体" w:hAnsi="黑体" w:eastAsia="黑体" w:cs="黑体"/>
                                <w:sz w:val="56"/>
                                <w:szCs w:val="96"/>
                              </w:rPr>
                            </w:pPr>
                            <w:r>
                              <w:rPr>
                                <w:rFonts w:hint="eastAsia" w:ascii="黑体" w:hAnsi="黑体" w:eastAsia="黑体" w:cs="黑体"/>
                                <w:sz w:val="56"/>
                                <w:szCs w:val="96"/>
                              </w:rPr>
                              <w:t>体位反馈模块</w:t>
                            </w:r>
                          </w:p>
                        </w:txbxContent>
                      </wps:txbx>
                      <wps:bodyPr upright="1"/>
                    </wps:wsp>
                  </a:graphicData>
                </a:graphic>
              </wp:anchor>
            </w:drawing>
          </mc:Choice>
          <mc:Fallback>
            <w:pict>
              <v:shape id="文本框 6" o:spid="_x0000_s1026" o:spt="202" type="#_x0000_t202" style="position:absolute;left:0pt;margin-left:8.8pt;margin-top:13.6pt;height:121.7pt;width:397.95pt;z-index:251659264;mso-width-relative:page;mso-height-relative:page;" filled="f" stroked="f" coordsize="21600,21600" o:gfxdata="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2xUPXZAAAACQEAAA8AAAAAAAAAAQAgAAAAIgAAAGRycy9kb3ducmV2LnhtbFBLAQIUABQA&#10;AAAIAIdO4kBQ32EKtgEAAFgDAAAOAAAAAAAAAAEAIAAAACgBAABkcnMvZTJvRG9jLnhtbFBLBQYA&#10;AAAABgAGAFkBAABQBQAAAAA=&#10;">
                <v:fill on="f" focussize="0,0"/>
                <v:stroke on="f" weight="0.5pt"/>
                <v:imagedata o:title=""/>
                <o:lock v:ext="edit" aspectratio="f"/>
                <v:textbox>
                  <w:txbxContent>
                    <w:p>
                      <w:pPr>
                        <w:spacing w:before="156" w:after="156"/>
                        <w:ind w:firstLine="0" w:firstLineChars="0"/>
                        <w:jc w:val="center"/>
                        <w:rPr>
                          <w:rFonts w:ascii="黑体" w:hAnsi="黑体" w:eastAsia="黑体" w:cs="黑体"/>
                          <w:sz w:val="56"/>
                          <w:szCs w:val="96"/>
                        </w:rPr>
                      </w:pPr>
                      <w:r>
                        <w:rPr>
                          <w:rFonts w:hint="eastAsia" w:ascii="黑体" w:hAnsi="黑体" w:eastAsia="黑体" w:cs="黑体"/>
                          <w:sz w:val="56"/>
                          <w:szCs w:val="96"/>
                          <w:lang w:val="en-US" w:eastAsia="zh-CN"/>
                        </w:rPr>
                        <w:t>MS-001</w:t>
                      </w:r>
                      <w:r>
                        <w:rPr>
                          <w:rFonts w:hint="eastAsia" w:ascii="黑体" w:hAnsi="黑体" w:eastAsia="黑体" w:cs="黑体"/>
                          <w:sz w:val="56"/>
                          <w:szCs w:val="96"/>
                        </w:rPr>
                        <w:t xml:space="preserve"> </w:t>
                      </w:r>
                    </w:p>
                    <w:p>
                      <w:pPr>
                        <w:spacing w:before="156" w:after="156"/>
                        <w:ind w:firstLine="0" w:firstLineChars="0"/>
                        <w:jc w:val="center"/>
                        <w:rPr>
                          <w:rFonts w:ascii="黑体" w:hAnsi="黑体" w:eastAsia="黑体" w:cs="黑体"/>
                          <w:sz w:val="56"/>
                          <w:szCs w:val="96"/>
                        </w:rPr>
                      </w:pPr>
                      <w:r>
                        <w:rPr>
                          <w:rFonts w:hint="eastAsia" w:ascii="黑体" w:hAnsi="黑体" w:eastAsia="黑体" w:cs="黑体"/>
                          <w:sz w:val="56"/>
                          <w:szCs w:val="96"/>
                        </w:rPr>
                        <w:t>体位反馈模块</w:t>
                      </w:r>
                    </w:p>
                  </w:txbxContent>
                </v:textbox>
              </v:shape>
            </w:pict>
          </mc:Fallback>
        </mc:AlternateContent>
      </w:r>
    </w:p>
    <w:p>
      <w:pPr>
        <w:spacing w:before="156" w:after="156" w:line="240" w:lineRule="auto"/>
        <w:ind w:firstLine="482"/>
        <w:rPr>
          <w:rFonts w:ascii="宋体" w:hAnsi="宋体" w:cs="宋体"/>
          <w:b/>
          <w:kern w:val="0"/>
          <w:sz w:val="24"/>
        </w:rPr>
      </w:pPr>
    </w:p>
    <w:p>
      <w:pPr>
        <w:spacing w:before="156" w:after="156" w:line="240" w:lineRule="auto"/>
        <w:ind w:firstLine="482"/>
        <w:rPr>
          <w:rFonts w:ascii="宋体" w:hAnsi="宋体" w:cs="宋体"/>
          <w:b/>
          <w:kern w:val="0"/>
          <w:sz w:val="24"/>
        </w:rPr>
      </w:pPr>
    </w:p>
    <w:p>
      <w:pPr>
        <w:spacing w:before="156" w:after="156" w:line="240" w:lineRule="auto"/>
        <w:ind w:firstLine="482"/>
        <w:rPr>
          <w:rFonts w:ascii="宋体" w:hAnsi="宋体" w:cs="宋体"/>
          <w:b/>
          <w:kern w:val="0"/>
          <w:sz w:val="24"/>
        </w:rPr>
      </w:pPr>
    </w:p>
    <w:p>
      <w:pPr>
        <w:spacing w:before="156" w:after="156" w:line="240" w:lineRule="auto"/>
        <w:ind w:firstLine="482"/>
        <w:rPr>
          <w:rFonts w:ascii="宋体" w:hAnsi="宋体" w:cs="宋体"/>
          <w:b/>
          <w:kern w:val="0"/>
          <w:sz w:val="24"/>
        </w:rPr>
      </w:pPr>
    </w:p>
    <w:p>
      <w:pPr>
        <w:widowControl/>
        <w:spacing w:before="156" w:after="156" w:line="240" w:lineRule="auto"/>
        <w:jc w:val="left"/>
        <w:rPr>
          <w:rFonts w:ascii="宋体" w:hAnsi="宋体" w:cs="宋体"/>
          <w:b/>
          <w:bCs/>
          <w:sz w:val="24"/>
        </w:rPr>
      </w:pPr>
      <w:r>
        <mc:AlternateContent>
          <mc:Choice Requires="wps">
            <w:drawing>
              <wp:anchor distT="0" distB="0" distL="114300" distR="114300" simplePos="0" relativeHeight="251663360" behindDoc="0" locked="0" layoutInCell="1" allowOverlap="1">
                <wp:simplePos x="0" y="0"/>
                <wp:positionH relativeFrom="column">
                  <wp:posOffset>-411480</wp:posOffset>
                </wp:positionH>
                <wp:positionV relativeFrom="paragraph">
                  <wp:posOffset>117475</wp:posOffset>
                </wp:positionV>
                <wp:extent cx="5514975" cy="7696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514975" cy="769620"/>
                        </a:xfrm>
                        <a:prstGeom prst="rect">
                          <a:avLst/>
                        </a:prstGeom>
                        <a:noFill/>
                        <a:ln w="6350">
                          <a:noFill/>
                        </a:ln>
                      </wps:spPr>
                      <wps:txbx>
                        <w:txbxContent>
                          <w:p>
                            <w:pPr>
                              <w:spacing w:before="156" w:after="156"/>
                              <w:ind w:firstLine="1120"/>
                              <w:jc w:val="center"/>
                              <w:rPr>
                                <w:rFonts w:ascii="黑体" w:hAnsi="黑体" w:eastAsia="黑体" w:cs="黑体"/>
                                <w:sz w:val="56"/>
                                <w:szCs w:val="96"/>
                              </w:rPr>
                            </w:pPr>
                            <w:r>
                              <w:rPr>
                                <w:rFonts w:hint="eastAsia" w:ascii="黑体" w:hAnsi="黑体" w:eastAsia="黑体" w:cs="黑体"/>
                                <w:sz w:val="56"/>
                                <w:szCs w:val="96"/>
                              </w:rPr>
                              <w:t>结构详细设计说明书</w:t>
                            </w:r>
                          </w:p>
                        </w:txbxContent>
                      </wps:txbx>
                      <wps:bodyPr upright="1"/>
                    </wps:wsp>
                  </a:graphicData>
                </a:graphic>
              </wp:anchor>
            </w:drawing>
          </mc:Choice>
          <mc:Fallback>
            <w:pict>
              <v:shape id="_x0000_s1026" o:spid="_x0000_s1026" o:spt="202" type="#_x0000_t202" style="position:absolute;left:0pt;margin-left:-32.4pt;margin-top:9.25pt;height:60.6pt;width:434.25pt;z-index:251663360;mso-width-relative:page;mso-height-relative:page;" filled="f" stroked="f" coordsize="21600,21600" o:gfxdata="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hBf9jbAAAACgEAAA8AAAAAAAAAAQAgAAAAIgAAAGRycy9kb3ducmV2LnhtbFBLAQIU&#10;ABQAAAAIAIdO4kCjLQjotwEAAFcDAAAOAAAAAAAAAAEAIAAAACoBAABkcnMvZTJvRG9jLnhtbFBL&#10;BQYAAAAABgAGAFkBAABTBQAAAAA=&#10;">
                <v:fill on="f" focussize="0,0"/>
                <v:stroke on="f" weight="0.5pt"/>
                <v:imagedata o:title=""/>
                <o:lock v:ext="edit" aspectratio="f"/>
                <v:textbox>
                  <w:txbxContent>
                    <w:p>
                      <w:pPr>
                        <w:spacing w:before="156" w:after="156"/>
                        <w:ind w:firstLine="1120"/>
                        <w:jc w:val="center"/>
                        <w:rPr>
                          <w:rFonts w:ascii="黑体" w:hAnsi="黑体" w:eastAsia="黑体" w:cs="黑体"/>
                          <w:sz w:val="56"/>
                          <w:szCs w:val="96"/>
                        </w:rPr>
                      </w:pPr>
                      <w:r>
                        <w:rPr>
                          <w:rFonts w:hint="eastAsia" w:ascii="黑体" w:hAnsi="黑体" w:eastAsia="黑体" w:cs="黑体"/>
                          <w:sz w:val="56"/>
                          <w:szCs w:val="96"/>
                        </w:rPr>
                        <w:t>结构详细设计说明书</w:t>
                      </w:r>
                    </w:p>
                  </w:txbxContent>
                </v:textbox>
              </v:shape>
            </w:pict>
          </mc:Fallback>
        </mc:AlternateContent>
      </w:r>
    </w:p>
    <w:p>
      <w:pPr>
        <w:widowControl/>
        <w:spacing w:before="156" w:after="156" w:line="240" w:lineRule="auto"/>
        <w:ind w:firstLine="482"/>
        <w:jc w:val="left"/>
        <w:rPr>
          <w:rFonts w:ascii="宋体" w:hAnsi="宋体" w:cs="宋体"/>
          <w:b/>
          <w:bCs/>
          <w:sz w:val="24"/>
        </w:rPr>
      </w:pPr>
    </w:p>
    <w:p>
      <w:pPr>
        <w:spacing w:before="156" w:after="156"/>
        <w:ind w:firstLine="1044"/>
        <w:rPr>
          <w:rFonts w:ascii="宋体" w:hAnsi="宋体" w:cs="宋体"/>
          <w:b/>
          <w:sz w:val="52"/>
        </w:rPr>
      </w:pPr>
    </w:p>
    <w:p>
      <w:pPr>
        <w:spacing w:before="156" w:after="156"/>
        <w:ind w:firstLine="480"/>
        <w:rPr>
          <w:rFonts w:ascii="宋体" w:hAnsi="宋体" w:cs="宋体"/>
          <w:b/>
          <w:sz w:val="52"/>
        </w:rPr>
      </w:pPr>
      <w:r>
        <w:rPr>
          <w:sz w:val="24"/>
        </w:rPr>
        <mc:AlternateContent>
          <mc:Choice Requires="wps">
            <w:drawing>
              <wp:anchor distT="0" distB="0" distL="114300" distR="114300" simplePos="0" relativeHeight="251661312" behindDoc="0" locked="0" layoutInCell="1" allowOverlap="1">
                <wp:simplePos x="0" y="0"/>
                <wp:positionH relativeFrom="column">
                  <wp:posOffset>1000760</wp:posOffset>
                </wp:positionH>
                <wp:positionV relativeFrom="paragraph">
                  <wp:posOffset>525780</wp:posOffset>
                </wp:positionV>
                <wp:extent cx="2766695" cy="2009140"/>
                <wp:effectExtent l="0" t="0" r="0" b="0"/>
                <wp:wrapSquare wrapText="bothSides"/>
                <wp:docPr id="3" name="文本框 4"/>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wps:spPr>
                      <wps:txbx>
                        <w:txbxContent>
                          <w:p>
                            <w:pPr>
                              <w:spacing w:before="156" w:after="156" w:line="600" w:lineRule="auto"/>
                              <w:ind w:firstLine="560"/>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ind w:firstLine="560"/>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ind w:firstLine="560"/>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upright="1"/>
                    </wps:wsp>
                  </a:graphicData>
                </a:graphic>
              </wp:anchor>
            </w:drawing>
          </mc:Choice>
          <mc:Fallback>
            <w:pict>
              <v:shape id="文本框 4" o:spid="_x0000_s1026" o:spt="202" type="#_x0000_t202" style="position:absolute;left:0pt;margin-left:78.8pt;margin-top:41.4pt;height:158.2pt;width:217.85pt;mso-wrap-distance-bottom:0pt;mso-wrap-distance-left:9pt;mso-wrap-distance-right:9pt;mso-wrap-distance-top:0pt;z-index:251661312;mso-width-relative:page;mso-height-relative:page;" filled="f" stroked="f" coordsize="21600,21600" o:gfxdata="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isSeu2wAAAAoBAAAPAAAAAAAAAAEAIAAAACIAAABkcnMvZG93bnJldi54bWxQSwEC&#10;FAAUAAAACACHTuJAn6LzZ7gBAABYAwAADgAAAAAAAAABACAAAAAqAQAAZHJzL2Uyb0RvYy54bWxQ&#10;SwUGAAAAAAYABgBZAQAAVAUAAAAA&#10;">
                <v:fill on="f" focussize="0,0"/>
                <v:stroke on="f" weight="0.5pt"/>
                <v:imagedata o:title=""/>
                <o:lock v:ext="edit" aspectratio="f"/>
                <v:textbox>
                  <w:txbxContent>
                    <w:p>
                      <w:pPr>
                        <w:spacing w:before="156" w:after="156" w:line="600" w:lineRule="auto"/>
                        <w:ind w:firstLine="560"/>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ind w:firstLine="560"/>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ind w:firstLine="560"/>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62336" behindDoc="0" locked="0" layoutInCell="1" allowOverlap="1">
                <wp:simplePos x="0" y="0"/>
                <wp:positionH relativeFrom="column">
                  <wp:posOffset>1555750</wp:posOffset>
                </wp:positionH>
                <wp:positionV relativeFrom="paragraph">
                  <wp:posOffset>3582670</wp:posOffset>
                </wp:positionV>
                <wp:extent cx="2223135" cy="436880"/>
                <wp:effectExtent l="0" t="0" r="5715" b="1270"/>
                <wp:wrapNone/>
                <wp:docPr id="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5pt;margin-top:282.1pt;height:34.4pt;width:175.05pt;z-index:251662336;mso-width-relative:page;mso-height-relative:page;" fillcolor="#FFFFFF" filled="t" stroked="f" coordsize="21600,21600" o:gfxdata="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ZBGt61gAAAAsBAAAPAAAAAAAAAAEAIAAAACIAAABkcnMvZG93bnJldi54bWxQSwECFAAUAAAA&#10;CACHTuJAoK4J1GICAACpBAAADgAAAAAAAAABACAAAAAlAQAAZHJzL2Uyb0RvYy54bWxQSwUGAAAA&#10;AAYABgBZAQAA+QU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ind w:firstLine="480"/>
        <w:jc w:val="center"/>
        <w:rPr>
          <w:rFonts w:ascii="宋体" w:hAnsi="宋体" w:cs="宋体"/>
          <w:bCs/>
          <w:sz w:val="24"/>
        </w:rPr>
      </w:pPr>
      <w:r>
        <w:rPr>
          <w:rFonts w:hint="eastAsia" w:ascii="宋体" w:hAnsi="宋体" w:cs="宋体"/>
          <w:bCs/>
          <w:sz w:val="24"/>
        </w:rPr>
        <w:t>文档更改履历</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9"/>
        <w:gridCol w:w="1741"/>
        <w:gridCol w:w="4012"/>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pStyle w:val="43"/>
              <w:spacing w:before="156" w:after="156"/>
            </w:pPr>
            <w:r>
              <w:rPr>
                <w:rFonts w:hint="eastAsia"/>
              </w:rPr>
              <w:t>版本号</w:t>
            </w:r>
          </w:p>
        </w:tc>
        <w:tc>
          <w:tcPr>
            <w:tcW w:w="1985" w:type="dxa"/>
            <w:shd w:val="pct10" w:color="auto" w:fill="auto"/>
            <w:vAlign w:val="center"/>
          </w:tcPr>
          <w:p>
            <w:pPr>
              <w:pStyle w:val="43"/>
              <w:spacing w:before="156" w:after="156"/>
            </w:pPr>
            <w:r>
              <w:rPr>
                <w:rFonts w:hint="eastAsia"/>
              </w:rPr>
              <w:t>发布/实施日期</w:t>
            </w:r>
          </w:p>
        </w:tc>
        <w:tc>
          <w:tcPr>
            <w:tcW w:w="4678" w:type="dxa"/>
            <w:shd w:val="pct10" w:color="auto" w:fill="auto"/>
            <w:vAlign w:val="center"/>
          </w:tcPr>
          <w:p>
            <w:pPr>
              <w:pStyle w:val="43"/>
              <w:spacing w:before="156" w:after="156"/>
            </w:pPr>
            <w:r>
              <w:rPr>
                <w:rFonts w:hint="eastAsia"/>
              </w:rPr>
              <w:t>更改内容概述</w:t>
            </w:r>
          </w:p>
        </w:tc>
        <w:tc>
          <w:tcPr>
            <w:tcW w:w="1842" w:type="dxa"/>
            <w:shd w:val="pct10" w:color="auto" w:fill="auto"/>
            <w:vAlign w:val="center"/>
          </w:tcPr>
          <w:p>
            <w:pPr>
              <w:pStyle w:val="43"/>
              <w:spacing w:before="156" w:after="156"/>
            </w:pPr>
            <w:r>
              <w:rPr>
                <w:rFonts w:hint="eastAsia"/>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r>
              <w:rPr>
                <w:rFonts w:hint="eastAsia"/>
              </w:rPr>
              <w:t>V1.0</w:t>
            </w:r>
          </w:p>
        </w:tc>
        <w:tc>
          <w:tcPr>
            <w:tcW w:w="1985" w:type="dxa"/>
            <w:vAlign w:val="center"/>
          </w:tcPr>
          <w:p>
            <w:pPr>
              <w:pStyle w:val="43"/>
              <w:spacing w:before="156" w:after="156"/>
            </w:pPr>
          </w:p>
        </w:tc>
        <w:tc>
          <w:tcPr>
            <w:tcW w:w="4678" w:type="dxa"/>
            <w:vAlign w:val="center"/>
          </w:tcPr>
          <w:p>
            <w:pPr>
              <w:pStyle w:val="43"/>
              <w:spacing w:before="156" w:after="156"/>
            </w:pPr>
            <w:r>
              <w:rPr>
                <w:rFonts w:hint="eastAsia"/>
              </w:rPr>
              <w:t>文件新编</w:t>
            </w: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spacing w:before="156" w:after="156"/>
            </w:pPr>
          </w:p>
        </w:tc>
        <w:tc>
          <w:tcPr>
            <w:tcW w:w="1985" w:type="dxa"/>
            <w:vAlign w:val="center"/>
          </w:tcPr>
          <w:p>
            <w:pPr>
              <w:pStyle w:val="43"/>
              <w:spacing w:before="156" w:after="156"/>
            </w:pPr>
          </w:p>
        </w:tc>
        <w:tc>
          <w:tcPr>
            <w:tcW w:w="4678" w:type="dxa"/>
            <w:vAlign w:val="center"/>
          </w:tcPr>
          <w:p>
            <w:pPr>
              <w:pStyle w:val="43"/>
              <w:spacing w:before="156" w:after="156"/>
            </w:pPr>
          </w:p>
        </w:tc>
        <w:tc>
          <w:tcPr>
            <w:tcW w:w="1842" w:type="dxa"/>
            <w:vAlign w:val="center"/>
          </w:tcPr>
          <w:p>
            <w:pPr>
              <w:pStyle w:val="43"/>
              <w:spacing w:before="156" w:after="156"/>
            </w:pPr>
          </w:p>
        </w:tc>
      </w:tr>
    </w:tbl>
    <w:p>
      <w:pPr>
        <w:spacing w:before="156" w:after="156"/>
        <w:ind w:firstLine="1044"/>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425" w:num="1"/>
          <w:docGrid w:type="lines" w:linePitch="312" w:charSpace="0"/>
        </w:sectPr>
      </w:pPr>
    </w:p>
    <w:p>
      <w:pPr>
        <w:spacing w:beforeLines="0" w:afterLines="0" w:line="240" w:lineRule="auto"/>
        <w:ind w:firstLine="723"/>
        <w:jc w:val="center"/>
        <w:rPr>
          <w:rFonts w:ascii="宋体" w:hAnsi="宋体" w:cs="宋体"/>
          <w:b/>
          <w:sz w:val="36"/>
          <w:szCs w:val="18"/>
        </w:rPr>
      </w:pPr>
      <w:r>
        <w:rPr>
          <w:rFonts w:hint="eastAsia" w:ascii="宋体" w:hAnsi="宋体" w:cs="宋体"/>
          <w:b/>
          <w:sz w:val="36"/>
          <w:szCs w:val="18"/>
        </w:rPr>
        <w:t>目录</w:t>
      </w:r>
    </w:p>
    <w:p>
      <w:pPr>
        <w:pStyle w:val="3"/>
        <w:tabs>
          <w:tab w:val="right" w:leader="dot" w:pos="8306"/>
        </w:tabs>
      </w:pPr>
      <w:r>
        <w:rPr>
          <w:rFonts w:hint="eastAsia" w:ascii="宋体" w:hAnsi="宋体" w:cs="宋体"/>
        </w:rPr>
        <w:fldChar w:fldCharType="begin"/>
      </w:r>
      <w:r>
        <w:rPr>
          <w:rFonts w:hint="eastAsia" w:ascii="宋体" w:hAnsi="宋体" w:cs="宋体"/>
        </w:rPr>
        <w:instrText xml:space="preserve"> TOC \o "1-3" \h \z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_Toc19122 </w:instrText>
      </w:r>
      <w:r>
        <w:rPr>
          <w:rFonts w:hint="eastAsia" w:ascii="宋体" w:hAnsi="宋体" w:cs="宋体"/>
        </w:rPr>
        <w:fldChar w:fldCharType="separate"/>
      </w:r>
      <w:r>
        <w:rPr>
          <w:rFonts w:hint="default"/>
        </w:rPr>
        <w:t xml:space="preserve">1. </w:t>
      </w:r>
      <w:r>
        <w:rPr>
          <w:rFonts w:hint="eastAsia"/>
        </w:rPr>
        <w:t>结构设计概述</w:t>
      </w:r>
      <w:r>
        <w:tab/>
      </w:r>
      <w:r>
        <w:fldChar w:fldCharType="begin"/>
      </w:r>
      <w:r>
        <w:instrText xml:space="preserve"> PAGEREF _Toc19122 \h </w:instrText>
      </w:r>
      <w:r>
        <w:fldChar w:fldCharType="separate"/>
      </w:r>
      <w:r>
        <w:t>1</w:t>
      </w:r>
      <w:r>
        <w:fldChar w:fldCharType="end"/>
      </w:r>
      <w:r>
        <w:rPr>
          <w:rFonts w:hint="eastAsia" w:ascii="宋体" w:hAnsi="宋体" w:cs="宋体"/>
        </w:rPr>
        <w:fldChar w:fldCharType="end"/>
      </w:r>
    </w:p>
    <w:p>
      <w:pPr>
        <w:pStyle w:val="26"/>
        <w:tabs>
          <w:tab w:val="right" w:leader="dot" w:pos="8306"/>
        </w:tabs>
      </w:pPr>
      <w:r>
        <w:rPr>
          <w:rFonts w:hint="eastAsia"/>
        </w:rPr>
        <w:fldChar w:fldCharType="begin"/>
      </w:r>
      <w:r>
        <w:rPr>
          <w:rFonts w:hint="eastAsia"/>
        </w:rPr>
        <w:instrText xml:space="preserve"> HYPERLINK \l _Toc2498 </w:instrText>
      </w:r>
      <w:r>
        <w:rPr>
          <w:rFonts w:hint="eastAsia"/>
        </w:rPr>
        <w:fldChar w:fldCharType="separate"/>
      </w:r>
      <w:r>
        <w:rPr>
          <w:rFonts w:hint="default"/>
        </w:rPr>
        <w:t xml:space="preserve">1.1. </w:t>
      </w:r>
      <w:r>
        <w:rPr>
          <w:rFonts w:hint="eastAsia"/>
        </w:rPr>
        <w:t>产品概述</w:t>
      </w:r>
      <w:r>
        <w:tab/>
      </w:r>
      <w:r>
        <w:fldChar w:fldCharType="begin"/>
      </w:r>
      <w:r>
        <w:instrText xml:space="preserve"> PAGEREF _Toc2498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_Toc9190 </w:instrText>
      </w:r>
      <w:r>
        <w:rPr>
          <w:rFonts w:hint="eastAsia"/>
        </w:rPr>
        <w:fldChar w:fldCharType="separate"/>
      </w:r>
      <w:r>
        <w:rPr>
          <w:rFonts w:hint="default"/>
        </w:rPr>
        <w:t xml:space="preserve">1.2. </w:t>
      </w:r>
      <w:r>
        <w:rPr>
          <w:rFonts w:hint="eastAsia"/>
        </w:rPr>
        <w:t>体位反馈模块概述</w:t>
      </w:r>
      <w:r>
        <w:tab/>
      </w:r>
      <w:r>
        <w:fldChar w:fldCharType="begin"/>
      </w:r>
      <w:r>
        <w:instrText xml:space="preserve"> PAGEREF _Toc9190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_Toc31471 </w:instrText>
      </w:r>
      <w:r>
        <w:rPr>
          <w:rFonts w:hint="eastAsia"/>
        </w:rPr>
        <w:fldChar w:fldCharType="separate"/>
      </w:r>
      <w:r>
        <w:rPr>
          <w:rFonts w:hint="default"/>
        </w:rPr>
        <w:t xml:space="preserve">1.3. </w:t>
      </w:r>
      <w:r>
        <w:rPr>
          <w:rFonts w:hint="eastAsia"/>
        </w:rPr>
        <w:t>产品执行标准</w:t>
      </w:r>
      <w:r>
        <w:tab/>
      </w:r>
      <w:r>
        <w:fldChar w:fldCharType="begin"/>
      </w:r>
      <w:r>
        <w:instrText xml:space="preserve"> PAGEREF _Toc31471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_Toc17193 </w:instrText>
      </w:r>
      <w:r>
        <w:rPr>
          <w:rFonts w:hint="eastAsia"/>
        </w:rPr>
        <w:fldChar w:fldCharType="separate"/>
      </w:r>
      <w:r>
        <w:rPr>
          <w:rFonts w:hint="default"/>
          <w:lang w:val="en-US" w:eastAsia="zh-CN"/>
        </w:rPr>
        <w:t xml:space="preserve">1.4. </w:t>
      </w:r>
      <w:r>
        <w:rPr>
          <w:rFonts w:hint="eastAsia"/>
          <w:lang w:val="en-US" w:eastAsia="zh-CN"/>
        </w:rPr>
        <w:t>产品技术需求</w:t>
      </w:r>
      <w:r>
        <w:tab/>
      </w:r>
      <w:r>
        <w:fldChar w:fldCharType="begin"/>
      </w:r>
      <w:r>
        <w:instrText xml:space="preserve"> PAGEREF _Toc17193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_Toc2412 </w:instrText>
      </w:r>
      <w:r>
        <w:rPr>
          <w:rFonts w:hint="eastAsia"/>
        </w:rPr>
        <w:fldChar w:fldCharType="separate"/>
      </w:r>
      <w:r>
        <w:rPr>
          <w:rFonts w:hint="default"/>
        </w:rPr>
        <w:t xml:space="preserve">1.5. </w:t>
      </w:r>
      <w:r>
        <w:rPr>
          <w:rFonts w:hint="eastAsia"/>
        </w:rPr>
        <w:t>结构详细设计需求</w:t>
      </w:r>
      <w:r>
        <w:tab/>
      </w:r>
      <w:r>
        <w:fldChar w:fldCharType="begin"/>
      </w:r>
      <w:r>
        <w:instrText xml:space="preserve"> PAGEREF _Toc2412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_Toc1280 </w:instrText>
      </w:r>
      <w:r>
        <w:rPr>
          <w:rFonts w:hint="eastAsia"/>
        </w:rPr>
        <w:fldChar w:fldCharType="separate"/>
      </w:r>
      <w:r>
        <w:rPr>
          <w:rFonts w:hint="default"/>
        </w:rPr>
        <w:t xml:space="preserve">2. </w:t>
      </w:r>
      <w:r>
        <w:rPr>
          <w:rFonts w:hint="eastAsia"/>
        </w:rPr>
        <w:t>整机结构风险分析与评估</w:t>
      </w:r>
      <w:r>
        <w:tab/>
      </w:r>
      <w:r>
        <w:fldChar w:fldCharType="begin"/>
      </w:r>
      <w:r>
        <w:instrText xml:space="preserve"> PAGEREF _Toc1280 \h </w:instrText>
      </w:r>
      <w:r>
        <w:fldChar w:fldCharType="separate"/>
      </w:r>
      <w:r>
        <w:t>2</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_Toc26013 </w:instrText>
      </w:r>
      <w:r>
        <w:rPr>
          <w:rFonts w:hint="eastAsia"/>
        </w:rPr>
        <w:fldChar w:fldCharType="separate"/>
      </w:r>
      <w:r>
        <w:rPr>
          <w:rFonts w:hint="default"/>
        </w:rPr>
        <w:t xml:space="preserve">3. </w:t>
      </w:r>
      <w:r>
        <w:rPr>
          <w:rFonts w:hint="eastAsia"/>
        </w:rPr>
        <w:t>整机结构设计说明</w:t>
      </w:r>
      <w:r>
        <w:tab/>
      </w:r>
      <w:r>
        <w:fldChar w:fldCharType="begin"/>
      </w:r>
      <w:r>
        <w:instrText xml:space="preserve"> PAGEREF _Toc26013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_Toc20075 </w:instrText>
      </w:r>
      <w:r>
        <w:rPr>
          <w:rFonts w:hint="eastAsia"/>
        </w:rPr>
        <w:fldChar w:fldCharType="separate"/>
      </w:r>
      <w:r>
        <w:rPr>
          <w:rFonts w:hint="default"/>
        </w:rPr>
        <w:t xml:space="preserve">3.1. </w:t>
      </w:r>
      <w:r>
        <w:rPr>
          <w:rFonts w:hint="eastAsia"/>
        </w:rPr>
        <w:t>外观设计说明</w:t>
      </w:r>
      <w:r>
        <w:tab/>
      </w:r>
      <w:r>
        <w:fldChar w:fldCharType="begin"/>
      </w:r>
      <w:r>
        <w:instrText xml:space="preserve"> PAGEREF _Toc20075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_Toc9733 </w:instrText>
      </w:r>
      <w:r>
        <w:rPr>
          <w:rFonts w:hint="eastAsia"/>
        </w:rPr>
        <w:fldChar w:fldCharType="separate"/>
      </w:r>
      <w:r>
        <w:rPr>
          <w:rFonts w:hint="default"/>
        </w:rPr>
        <w:t xml:space="preserve">3.2. </w:t>
      </w:r>
      <w:r>
        <w:rPr>
          <w:rFonts w:hint="eastAsia"/>
        </w:rPr>
        <w:t>详细设计概述</w:t>
      </w:r>
      <w:r>
        <w:tab/>
      </w:r>
      <w:r>
        <w:fldChar w:fldCharType="begin"/>
      </w:r>
      <w:r>
        <w:instrText xml:space="preserve"> PAGEREF _Toc9733 \h </w:instrText>
      </w:r>
      <w:r>
        <w:fldChar w:fldCharType="separate"/>
      </w:r>
      <w:r>
        <w:t>3</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_Toc4952 </w:instrText>
      </w:r>
      <w:r>
        <w:rPr>
          <w:rFonts w:hint="eastAsia"/>
        </w:rPr>
        <w:fldChar w:fldCharType="separate"/>
      </w:r>
      <w:r>
        <w:rPr>
          <w:rFonts w:hint="default"/>
        </w:rPr>
        <w:t xml:space="preserve">3.3. </w:t>
      </w:r>
      <w:r>
        <w:rPr>
          <w:rFonts w:hint="eastAsia"/>
        </w:rPr>
        <w:t>结构详细设计说明</w:t>
      </w:r>
      <w:r>
        <w:tab/>
      </w:r>
      <w:r>
        <w:fldChar w:fldCharType="begin"/>
      </w:r>
      <w:r>
        <w:instrText xml:space="preserve"> PAGEREF _Toc4952 \h </w:instrText>
      </w:r>
      <w:r>
        <w:fldChar w:fldCharType="separate"/>
      </w:r>
      <w:r>
        <w:t>4</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_Toc12393 </w:instrText>
      </w:r>
      <w:r>
        <w:rPr>
          <w:rFonts w:hint="eastAsia"/>
        </w:rPr>
        <w:fldChar w:fldCharType="separate"/>
      </w:r>
      <w:r>
        <w:rPr>
          <w:rFonts w:hint="default"/>
        </w:rPr>
        <w:t xml:space="preserve">3.3.1. </w:t>
      </w:r>
      <w:r>
        <w:rPr>
          <w:rFonts w:hint="eastAsia"/>
        </w:rPr>
        <w:t>衍射片固定设计</w:t>
      </w:r>
      <w:r>
        <w:tab/>
      </w:r>
      <w:r>
        <w:fldChar w:fldCharType="begin"/>
      </w:r>
      <w:r>
        <w:instrText xml:space="preserve"> PAGEREF _Toc12393 \h </w:instrText>
      </w:r>
      <w:r>
        <w:fldChar w:fldCharType="separate"/>
      </w:r>
      <w:r>
        <w:t>4</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_Toc9670 </w:instrText>
      </w:r>
      <w:r>
        <w:rPr>
          <w:rFonts w:hint="eastAsia"/>
        </w:rPr>
        <w:fldChar w:fldCharType="separate"/>
      </w:r>
      <w:r>
        <w:rPr>
          <w:rFonts w:hint="default"/>
        </w:rPr>
        <w:t xml:space="preserve">3.3.2. </w:t>
      </w:r>
      <w:r>
        <w:rPr>
          <w:rFonts w:hint="eastAsia"/>
        </w:rPr>
        <w:t>转动轴设计</w:t>
      </w:r>
      <w:r>
        <w:tab/>
      </w:r>
      <w:r>
        <w:fldChar w:fldCharType="begin"/>
      </w:r>
      <w:r>
        <w:instrText xml:space="preserve"> PAGEREF _Toc9670 \h </w:instrText>
      </w:r>
      <w:r>
        <w:fldChar w:fldCharType="separate"/>
      </w:r>
      <w:r>
        <w:t>5</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_Toc11507 </w:instrText>
      </w:r>
      <w:r>
        <w:rPr>
          <w:rFonts w:hint="eastAsia"/>
        </w:rPr>
        <w:fldChar w:fldCharType="separate"/>
      </w:r>
      <w:r>
        <w:rPr>
          <w:rFonts w:hint="default"/>
        </w:rPr>
        <w:t xml:space="preserve">3.3.3. </w:t>
      </w:r>
      <w:r>
        <w:rPr>
          <w:rFonts w:hint="eastAsia"/>
        </w:rPr>
        <w:t>外壳设计</w:t>
      </w:r>
      <w:r>
        <w:tab/>
      </w:r>
      <w:r>
        <w:fldChar w:fldCharType="begin"/>
      </w:r>
      <w:r>
        <w:instrText xml:space="preserve"> PAGEREF _Toc11507 \h </w:instrText>
      </w:r>
      <w:r>
        <w:fldChar w:fldCharType="separate"/>
      </w:r>
      <w:r>
        <w:t>5</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_Toc15054 </w:instrText>
      </w:r>
      <w:r>
        <w:rPr>
          <w:rFonts w:hint="eastAsia"/>
        </w:rPr>
        <w:fldChar w:fldCharType="separate"/>
      </w:r>
      <w:r>
        <w:rPr>
          <w:rFonts w:hint="default"/>
        </w:rPr>
        <w:t xml:space="preserve">3.4. </w:t>
      </w:r>
      <w:r>
        <w:rPr>
          <w:rFonts w:hint="eastAsia"/>
        </w:rPr>
        <w:t>电磁兼容设计说明</w:t>
      </w:r>
      <w:r>
        <w:tab/>
      </w:r>
      <w:r>
        <w:fldChar w:fldCharType="begin"/>
      </w:r>
      <w:r>
        <w:instrText xml:space="preserve"> PAGEREF _Toc15054 \h </w:instrText>
      </w:r>
      <w:r>
        <w:fldChar w:fldCharType="separate"/>
      </w:r>
      <w:r>
        <w:t>6</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_Toc23432 </w:instrText>
      </w:r>
      <w:r>
        <w:rPr>
          <w:rFonts w:hint="eastAsia"/>
        </w:rPr>
        <w:fldChar w:fldCharType="separate"/>
      </w:r>
      <w:r>
        <w:rPr>
          <w:rFonts w:hint="default"/>
        </w:rPr>
        <w:t xml:space="preserve">3.5. </w:t>
      </w:r>
      <w:r>
        <w:rPr>
          <w:rFonts w:hint="eastAsia"/>
        </w:rPr>
        <w:t>接地及防静电设计说明</w:t>
      </w:r>
      <w:r>
        <w:tab/>
      </w:r>
      <w:r>
        <w:fldChar w:fldCharType="begin"/>
      </w:r>
      <w:r>
        <w:instrText xml:space="preserve"> PAGEREF _Toc23432 \h </w:instrText>
      </w:r>
      <w:r>
        <w:fldChar w:fldCharType="separate"/>
      </w:r>
      <w:r>
        <w:t>6</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_Toc15663 </w:instrText>
      </w:r>
      <w:r>
        <w:rPr>
          <w:rFonts w:hint="eastAsia"/>
        </w:rPr>
        <w:fldChar w:fldCharType="separate"/>
      </w:r>
      <w:r>
        <w:rPr>
          <w:rFonts w:hint="default"/>
        </w:rPr>
        <w:t xml:space="preserve">3.6. </w:t>
      </w:r>
      <w:r>
        <w:rPr>
          <w:rFonts w:hint="eastAsia"/>
        </w:rPr>
        <w:t>通风散热设计说明</w:t>
      </w:r>
      <w:r>
        <w:tab/>
      </w:r>
      <w:r>
        <w:fldChar w:fldCharType="begin"/>
      </w:r>
      <w:r>
        <w:instrText xml:space="preserve"> PAGEREF _Toc15663 \h </w:instrText>
      </w:r>
      <w:r>
        <w:fldChar w:fldCharType="separate"/>
      </w:r>
      <w:r>
        <w:t>7</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_Toc9386 </w:instrText>
      </w:r>
      <w:r>
        <w:rPr>
          <w:rFonts w:hint="eastAsia"/>
        </w:rPr>
        <w:fldChar w:fldCharType="separate"/>
      </w:r>
      <w:r>
        <w:rPr>
          <w:rFonts w:hint="default"/>
        </w:rPr>
        <w:t xml:space="preserve">3.7. </w:t>
      </w:r>
      <w:r>
        <w:rPr>
          <w:rFonts w:hint="eastAsia"/>
        </w:rPr>
        <w:t>检修维护设计说明</w:t>
      </w:r>
      <w:r>
        <w:tab/>
      </w:r>
      <w:r>
        <w:fldChar w:fldCharType="begin"/>
      </w:r>
      <w:r>
        <w:instrText xml:space="preserve"> PAGEREF _Toc9386 \h </w:instrText>
      </w:r>
      <w:r>
        <w:fldChar w:fldCharType="separate"/>
      </w:r>
      <w:r>
        <w:t>7</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_Toc279 </w:instrText>
      </w:r>
      <w:r>
        <w:rPr>
          <w:rFonts w:hint="eastAsia"/>
        </w:rPr>
        <w:fldChar w:fldCharType="separate"/>
      </w:r>
      <w:r>
        <w:rPr>
          <w:rFonts w:hint="default"/>
        </w:rPr>
        <w:t xml:space="preserve">4. </w:t>
      </w:r>
      <w:r>
        <w:rPr>
          <w:rFonts w:hint="eastAsia"/>
        </w:rPr>
        <w:t>总结</w:t>
      </w:r>
      <w:r>
        <w:tab/>
      </w:r>
      <w:r>
        <w:fldChar w:fldCharType="begin"/>
      </w:r>
      <w:r>
        <w:instrText xml:space="preserve"> PAGEREF _Toc279 \h </w:instrText>
      </w:r>
      <w:r>
        <w:fldChar w:fldCharType="separate"/>
      </w:r>
      <w:r>
        <w:t>7</w:t>
      </w:r>
      <w:r>
        <w:fldChar w:fldCharType="end"/>
      </w:r>
      <w:r>
        <w:rPr>
          <w:rFonts w:hint="eastAsia"/>
        </w:rPr>
        <w:fldChar w:fldCharType="end"/>
      </w:r>
    </w:p>
    <w:p>
      <w:pPr>
        <w:spacing w:before="156" w:after="156"/>
        <w:sectPr>
          <w:headerReference r:id="rId16" w:type="first"/>
          <w:footerReference r:id="rId17" w:type="default"/>
          <w:headerReference r:id="rId15" w:type="even"/>
          <w:pgSz w:w="11906" w:h="16838"/>
          <w:pgMar w:top="1440" w:right="1800" w:bottom="1440" w:left="1800" w:header="851" w:footer="992" w:gutter="0"/>
          <w:cols w:space="425" w:num="1"/>
          <w:docGrid w:type="lines" w:linePitch="312" w:charSpace="0"/>
        </w:sectPr>
      </w:pPr>
      <w:r>
        <w:rPr>
          <w:rFonts w:hint="eastAsia"/>
        </w:rPr>
        <w:fldChar w:fldCharType="end"/>
      </w:r>
    </w:p>
    <w:p>
      <w:pPr>
        <w:pStyle w:val="2"/>
        <w:spacing w:before="312" w:after="312"/>
      </w:pPr>
      <w:bookmarkStart w:id="36" w:name="_GoBack"/>
      <w:bookmarkEnd w:id="36"/>
      <w:bookmarkStart w:id="0" w:name="_Toc25863"/>
      <w:bookmarkStart w:id="1" w:name="_Toc19122"/>
      <w:r>
        <w:rPr>
          <w:rFonts w:hint="eastAsia"/>
        </w:rPr>
        <w:t>结构设计概述</w:t>
      </w:r>
      <w:bookmarkEnd w:id="0"/>
      <w:bookmarkEnd w:id="1"/>
    </w:p>
    <w:p>
      <w:pPr>
        <w:pStyle w:val="4"/>
        <w:spacing w:before="156" w:after="156"/>
      </w:pPr>
      <w:bookmarkStart w:id="2" w:name="_Toc2498"/>
      <w:r>
        <w:rPr>
          <w:rFonts w:hint="eastAsia"/>
        </w:rPr>
        <w:t>产品概述</w:t>
      </w:r>
      <w:bookmarkEnd w:id="2"/>
    </w:p>
    <w:p>
      <w:pPr>
        <w:spacing w:before="156" w:after="156"/>
      </w:pPr>
      <w:r>
        <w:rPr>
          <w:rFonts w:hint="eastAsia"/>
          <w:lang w:val="en-US" w:eastAsia="zh-CN"/>
        </w:rPr>
        <w:t>MS-001</w:t>
      </w:r>
      <w:r>
        <w:rPr>
          <w:rFonts w:hint="eastAsia"/>
        </w:rPr>
        <w:t>由规划模块、导引模块、工具包和体位反馈模块等组成。</w:t>
      </w:r>
    </w:p>
    <w:p>
      <w:pPr>
        <w:pStyle w:val="4"/>
        <w:spacing w:before="156" w:after="156"/>
      </w:pPr>
      <w:bookmarkStart w:id="3" w:name="_Toc9190"/>
      <w:r>
        <w:rPr>
          <w:rFonts w:hint="eastAsia"/>
        </w:rPr>
        <w:t>体位反馈模块概述</w:t>
      </w:r>
      <w:bookmarkEnd w:id="3"/>
    </w:p>
    <w:p>
      <w:pPr>
        <w:spacing w:before="156" w:after="156"/>
      </w:pPr>
      <w:r>
        <w:rPr>
          <w:rFonts w:hint="eastAsia"/>
        </w:rPr>
        <w:t>体位反馈模块是</w:t>
      </w:r>
      <w:r>
        <w:rPr>
          <w:rFonts w:hint="eastAsia"/>
          <w:lang w:val="en-US" w:eastAsia="zh-CN"/>
        </w:rPr>
        <w:t>MS-001</w:t>
      </w:r>
      <w:r>
        <w:rPr>
          <w:rFonts w:hint="eastAsia"/>
        </w:rPr>
        <w:t>系统的组成部分，体位反馈模块的主要功能是辅助完成病人的体位是否发生位移的检测。</w:t>
      </w:r>
    </w:p>
    <w:p>
      <w:pPr>
        <w:pStyle w:val="4"/>
        <w:spacing w:before="156" w:after="156"/>
      </w:pPr>
      <w:bookmarkStart w:id="4" w:name="_Toc31471"/>
      <w:r>
        <w:rPr>
          <w:rFonts w:hint="eastAsia"/>
        </w:rPr>
        <w:t>产品执行标准</w:t>
      </w:r>
      <w:bookmarkEnd w:id="4"/>
    </w:p>
    <w:p>
      <w:pPr>
        <w:numPr>
          <w:ilvl w:val="0"/>
          <w:numId w:val="2"/>
        </w:numPr>
        <w:spacing w:before="156" w:after="156" w:line="360" w:lineRule="auto"/>
        <w:ind w:firstLineChars="0"/>
      </w:pPr>
      <w:r>
        <w:rPr>
          <w:rFonts w:hint="eastAsia"/>
        </w:rPr>
        <w:t>GB 9706.1-20</w:t>
      </w:r>
      <w:r>
        <w:rPr>
          <w:rFonts w:hint="eastAsia"/>
          <w:lang w:val="en-US" w:eastAsia="zh-CN"/>
        </w:rPr>
        <w:t>07</w:t>
      </w:r>
      <w:r>
        <w:rPr>
          <w:rFonts w:hint="eastAsia"/>
        </w:rPr>
        <w:t xml:space="preserve"> 医用电气设备 第1部分：安全通用要求</w:t>
      </w:r>
    </w:p>
    <w:p>
      <w:pPr>
        <w:numPr>
          <w:ilvl w:val="0"/>
          <w:numId w:val="2"/>
        </w:numPr>
        <w:spacing w:before="156" w:after="156" w:line="360" w:lineRule="auto"/>
        <w:ind w:firstLineChars="0"/>
      </w:pPr>
      <w:r>
        <w:rPr>
          <w:rFonts w:hint="eastAsia"/>
        </w:rPr>
        <w:t>YY 0505-2012 医用电气设备 第1-2部分：安全通用要求并列标准：电磁兼容 要求和试验</w:t>
      </w:r>
      <w:r>
        <w:rPr>
          <w:rFonts w:hint="eastAsia"/>
          <w:lang w:val="en-US" w:eastAsia="zh-CN"/>
        </w:rPr>
        <w:t xml:space="preserve"> </w:t>
      </w:r>
    </w:p>
    <w:p>
      <w:pPr>
        <w:pStyle w:val="4"/>
        <w:bidi w:val="0"/>
        <w:rPr>
          <w:rFonts w:hint="eastAsia"/>
          <w:lang w:val="en-US" w:eastAsia="zh-CN"/>
        </w:rPr>
      </w:pPr>
      <w:bookmarkStart w:id="5" w:name="_Toc22341"/>
      <w:bookmarkStart w:id="6" w:name="_Toc12960"/>
      <w:bookmarkStart w:id="7" w:name="_Toc17193"/>
      <w:bookmarkStart w:id="8" w:name="_Toc31976"/>
      <w:bookmarkStart w:id="9" w:name="_Toc10861"/>
      <w:r>
        <w:rPr>
          <w:rFonts w:hint="eastAsia"/>
          <w:lang w:val="en-US" w:eastAsia="zh-CN"/>
        </w:rPr>
        <w:t>产品</w:t>
      </w:r>
      <w:bookmarkEnd w:id="5"/>
      <w:r>
        <w:rPr>
          <w:rFonts w:hint="eastAsia"/>
          <w:lang w:val="en-US" w:eastAsia="zh-CN"/>
        </w:rPr>
        <w:t>技术需求</w:t>
      </w:r>
      <w:bookmarkEnd w:id="6"/>
      <w:bookmarkEnd w:id="7"/>
    </w:p>
    <w:p>
      <w:pPr>
        <w:spacing w:before="156" w:after="156"/>
        <w:jc w:val="both"/>
        <w:rPr>
          <w:rFonts w:hint="default"/>
          <w:lang w:val="en-US" w:eastAsia="zh-CN"/>
        </w:rPr>
      </w:pPr>
      <w:r>
        <w:rPr>
          <w:rFonts w:hint="eastAsia"/>
          <w:lang w:val="en-US" w:eastAsia="zh-CN"/>
        </w:rPr>
        <w:t>产品技术需求详见《MS-001产品技术需求说明书》。</w:t>
      </w:r>
    </w:p>
    <w:p>
      <w:pPr>
        <w:pStyle w:val="4"/>
        <w:spacing w:before="156" w:after="156"/>
      </w:pPr>
      <w:bookmarkStart w:id="10" w:name="_Toc2412"/>
      <w:r>
        <w:rPr>
          <w:rFonts w:hint="eastAsia"/>
        </w:rPr>
        <w:t>结构详细设计需求</w:t>
      </w:r>
      <w:bookmarkEnd w:id="8"/>
      <w:bookmarkEnd w:id="9"/>
      <w:bookmarkEnd w:id="10"/>
    </w:p>
    <w:p>
      <w:pPr>
        <w:numPr>
          <w:ilvl w:val="0"/>
          <w:numId w:val="3"/>
        </w:numPr>
        <w:spacing w:before="156" w:after="156"/>
        <w:ind w:firstLineChars="0"/>
      </w:pPr>
      <w:r>
        <w:rPr>
          <w:rFonts w:hint="eastAsia"/>
        </w:rPr>
        <w:t>该模块需保证足够的刚度和强度，确保使用过程上下外壳连接的稳固、可靠性；</w:t>
      </w:r>
    </w:p>
    <w:p>
      <w:pPr>
        <w:numPr>
          <w:ilvl w:val="0"/>
          <w:numId w:val="3"/>
        </w:numPr>
        <w:spacing w:before="156" w:after="156"/>
        <w:ind w:firstLineChars="0"/>
      </w:pPr>
      <w:r>
        <w:rPr>
          <w:rFonts w:hint="eastAsia"/>
        </w:rPr>
        <w:t>采购件尽量选</w:t>
      </w:r>
      <w:r>
        <w:rPr>
          <w:rFonts w:hint="eastAsia"/>
          <w:lang w:val="en-US" w:eastAsia="zh-CN"/>
        </w:rPr>
        <w:t>用结构紧凑</w:t>
      </w:r>
      <w:r>
        <w:rPr>
          <w:rFonts w:hint="eastAsia"/>
        </w:rPr>
        <w:t>的零部件，以便于该模块内部堆叠设计</w:t>
      </w:r>
      <w:r>
        <w:rPr>
          <w:rFonts w:hint="eastAsia"/>
          <w:lang w:val="en-US" w:eastAsia="zh-CN"/>
        </w:rPr>
        <w:t>结构紧凑的要求</w:t>
      </w:r>
      <w:r>
        <w:rPr>
          <w:rFonts w:hint="eastAsia"/>
        </w:rPr>
        <w:t>；</w:t>
      </w:r>
    </w:p>
    <w:p>
      <w:pPr>
        <w:numPr>
          <w:ilvl w:val="0"/>
          <w:numId w:val="3"/>
        </w:numPr>
        <w:spacing w:before="156" w:after="156"/>
        <w:ind w:firstLineChars="0"/>
      </w:pPr>
      <w:r>
        <w:rPr>
          <w:rFonts w:hint="eastAsia"/>
        </w:rPr>
        <w:t>加工件材料基本以ABS为主，金属类元件则优先选用不锈钢材料；</w:t>
      </w:r>
    </w:p>
    <w:p>
      <w:pPr>
        <w:numPr>
          <w:ilvl w:val="0"/>
          <w:numId w:val="3"/>
        </w:numPr>
        <w:spacing w:before="156" w:after="156"/>
        <w:ind w:firstLineChars="0"/>
      </w:pPr>
      <w:r>
        <w:rPr>
          <w:rFonts w:hint="eastAsia"/>
        </w:rPr>
        <w:t>整机设备需兼顾电磁兼容、接地、散热、检修维护等要素进行设计。</w:t>
      </w:r>
    </w:p>
    <w:p>
      <w:pPr>
        <w:numPr>
          <w:ilvl w:val="0"/>
          <w:numId w:val="3"/>
        </w:numPr>
        <w:ind w:left="845" w:leftChars="0" w:hanging="425" w:firstLineChars="0"/>
      </w:pPr>
      <w:r>
        <w:rPr>
          <w:rFonts w:hint="eastAsia"/>
          <w:lang w:val="en-US" w:eastAsia="zh-CN"/>
        </w:rPr>
        <w:t>根据概要设计的需求和实现方式，展开详细设计。</w:t>
      </w:r>
    </w:p>
    <w:p>
      <w:pPr>
        <w:spacing w:before="156" w:after="156"/>
      </w:pPr>
      <w:r>
        <w:rPr>
          <w:rFonts w:hint="eastAsia"/>
        </w:rPr>
        <w:br w:type="page"/>
      </w:r>
    </w:p>
    <w:p>
      <w:pPr>
        <w:pStyle w:val="2"/>
        <w:spacing w:before="312" w:after="312"/>
      </w:pPr>
      <w:bookmarkStart w:id="11" w:name="_Toc10715"/>
      <w:bookmarkStart w:id="12" w:name="_Toc1280"/>
      <w:r>
        <w:rPr>
          <w:rFonts w:hint="eastAsia"/>
        </w:rPr>
        <w:t>整机结构风险分析与评估</w:t>
      </w:r>
      <w:bookmarkEnd w:id="11"/>
      <w:bookmarkEnd w:id="12"/>
    </w:p>
    <w:p>
      <w:r>
        <w:rPr>
          <w:rFonts w:hint="eastAsia"/>
          <w:lang w:val="en-US" w:eastAsia="zh-CN"/>
        </w:rPr>
        <w:t>整机结构风险分析与评估，详见《MS-001设计失效模式与效应分析（D-FMEA）》。</w:t>
      </w:r>
    </w:p>
    <w:p>
      <w:pPr>
        <w:pStyle w:val="2"/>
        <w:spacing w:before="312" w:after="312"/>
      </w:pPr>
      <w:bookmarkStart w:id="13" w:name="_Toc26013"/>
      <w:bookmarkStart w:id="14" w:name="_Toc28295"/>
      <w:bookmarkStart w:id="15" w:name="_Toc12521968"/>
      <w:bookmarkStart w:id="16" w:name="_Toc25910"/>
      <w:r>
        <w:rPr>
          <w:rFonts w:hint="eastAsia"/>
        </w:rPr>
        <w:t>整机结构设计说明</w:t>
      </w:r>
      <w:bookmarkEnd w:id="13"/>
      <w:bookmarkEnd w:id="14"/>
    </w:p>
    <w:p>
      <w:pPr>
        <w:spacing w:before="156" w:after="156"/>
      </w:pPr>
      <w:r>
        <w:t>整机</w:t>
      </w:r>
      <w:r>
        <w:rPr>
          <w:rFonts w:hint="eastAsia"/>
        </w:rPr>
        <w:t>框架</w:t>
      </w:r>
      <w:r>
        <w:t>采用</w:t>
      </w:r>
      <w:r>
        <w:rPr>
          <w:rFonts w:hint="eastAsia"/>
        </w:rPr>
        <w:t>ABS材</w:t>
      </w:r>
      <w:r>
        <w:rPr>
          <w:rFonts w:hint="eastAsia"/>
          <w:color w:val="auto"/>
        </w:rPr>
        <w:t>料搭建，</w:t>
      </w:r>
      <w:r>
        <w:rPr>
          <w:rFonts w:hint="eastAsia" w:ascii="Helvetica" w:hAnsi="Helvetica" w:cs="Helvetica"/>
          <w:color w:val="auto"/>
          <w:szCs w:val="21"/>
          <w:shd w:val="clear" w:color="auto" w:fill="FFFFFF"/>
        </w:rPr>
        <w:t>该材料具备</w:t>
      </w:r>
      <w:r>
        <w:rPr>
          <w:rFonts w:ascii="Helvetica" w:hAnsi="Helvetica" w:eastAsia="Helvetica" w:cs="Helvetica"/>
          <w:color w:val="auto"/>
          <w:szCs w:val="21"/>
          <w:shd w:val="clear" w:color="auto" w:fill="FFFFFF"/>
        </w:rPr>
        <w:t>原料易得、综合性能良好、价格便宜、用途广泛</w:t>
      </w:r>
      <w:r>
        <w:rPr>
          <w:rFonts w:hint="eastAsia" w:ascii="Helvetica" w:hAnsi="Helvetica" w:cs="Helvetica"/>
          <w:color w:val="auto"/>
          <w:szCs w:val="21"/>
          <w:shd w:val="clear" w:color="auto" w:fill="FFFFFF"/>
        </w:rPr>
        <w:t>特点。其余金属材料，则优先选用不锈钢材质，或表面镀镍</w:t>
      </w:r>
      <w:r>
        <w:rPr>
          <w:color w:val="auto"/>
        </w:rPr>
        <w:t>。</w:t>
      </w:r>
      <w:r>
        <w:rPr>
          <w:rFonts w:hint="eastAsia"/>
          <w:color w:val="auto"/>
        </w:rPr>
        <w:t>玻璃制品则在加工</w:t>
      </w:r>
      <w:r>
        <w:rPr>
          <w:rFonts w:hint="eastAsia"/>
        </w:rPr>
        <w:t>时要求切割后打磨、清洗。</w:t>
      </w:r>
    </w:p>
    <w:p>
      <w:pPr>
        <w:pStyle w:val="4"/>
        <w:spacing w:before="156" w:after="156"/>
      </w:pPr>
      <w:bookmarkStart w:id="17" w:name="_Toc23017"/>
      <w:bookmarkStart w:id="18" w:name="_Toc20075"/>
      <w:r>
        <w:rPr>
          <w:rFonts w:hint="eastAsia"/>
        </w:rPr>
        <w:t>外观设计说明</w:t>
      </w:r>
      <w:bookmarkEnd w:id="17"/>
      <w:bookmarkEnd w:id="18"/>
    </w:p>
    <w:p>
      <w:pPr>
        <w:pStyle w:val="13"/>
        <w:spacing w:before="156" w:after="156"/>
      </w:pPr>
      <w:r>
        <w:rPr>
          <w:rFonts w:hint="eastAsia"/>
        </w:rPr>
        <w:drawing>
          <wp:inline distT="0" distB="0" distL="114300" distR="114300">
            <wp:extent cx="3295015" cy="2934970"/>
            <wp:effectExtent l="0" t="0" r="635" b="17780"/>
            <wp:docPr id="7" name="图片 7" descr="立体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立体图1"/>
                    <pic:cNvPicPr>
                      <a:picLocks noChangeAspect="1"/>
                    </pic:cNvPicPr>
                  </pic:nvPicPr>
                  <pic:blipFill>
                    <a:blip r:embed="rId20"/>
                    <a:srcRect l="17646" t="24625" r="14599" b="34319"/>
                    <a:stretch>
                      <a:fillRect/>
                    </a:stretch>
                  </pic:blipFill>
                  <pic:spPr>
                    <a:xfrm>
                      <a:off x="0" y="0"/>
                      <a:ext cx="3295015" cy="2934970"/>
                    </a:xfrm>
                    <a:prstGeom prst="rect">
                      <a:avLst/>
                    </a:prstGeom>
                  </pic:spPr>
                </pic:pic>
              </a:graphicData>
            </a:graphic>
          </wp:inline>
        </w:drawing>
      </w:r>
    </w:p>
    <w:p>
      <w:pPr>
        <w:pStyle w:val="43"/>
        <w:spacing w:before="156" w:after="156"/>
      </w:pPr>
      <w:r>
        <w:t xml:space="preserve">图 </w:t>
      </w:r>
      <w:r>
        <w:fldChar w:fldCharType="begin"/>
      </w:r>
      <w:r>
        <w:instrText xml:space="preserve"> SEQ 图 \* ARABIC </w:instrText>
      </w:r>
      <w:r>
        <w:fldChar w:fldCharType="separate"/>
      </w:r>
      <w:r>
        <w:t>1</w:t>
      </w:r>
      <w:r>
        <w:fldChar w:fldCharType="end"/>
      </w:r>
      <w:r>
        <w:rPr>
          <w:rFonts w:hint="eastAsia"/>
        </w:rPr>
        <w:t xml:space="preserve"> 外观设计图</w:t>
      </w:r>
    </w:p>
    <w:p>
      <w:pPr>
        <w:spacing w:before="156" w:after="156"/>
      </w:pPr>
      <w:r>
        <w:rPr>
          <w:rFonts w:hint="eastAsia"/>
        </w:rPr>
        <w:t>体位反馈模块外观造型设计从科技、简约角度出发，并结合产品目标、人机工程、人机交互等方面的应用需求，整体采用圆柱形结构，过度圆角采用圆角处理，使其具备较好的握持感；采用磁吸的方式固定于连接装置上，从而使其与其他设备连接具备安装快捷、稳定、操作简单的优点。</w:t>
      </w:r>
    </w:p>
    <w:p>
      <w:pPr>
        <w:pStyle w:val="13"/>
        <w:spacing w:before="156" w:after="156"/>
        <w:rPr>
          <w:rFonts w:eastAsia="宋体"/>
        </w:rPr>
      </w:pPr>
      <w:r>
        <w:t xml:space="preserve">表 </w:t>
      </w:r>
      <w:r>
        <w:fldChar w:fldCharType="begin"/>
      </w:r>
      <w:r>
        <w:instrText xml:space="preserve"> SEQ 表 \* ARABIC </w:instrText>
      </w:r>
      <w:r>
        <w:fldChar w:fldCharType="separate"/>
      </w:r>
      <w:r>
        <w:t>1</w:t>
      </w:r>
      <w:r>
        <w:fldChar w:fldCharType="end"/>
      </w:r>
      <w:r>
        <w:rPr>
          <w:rFonts w:hint="eastAsia"/>
        </w:rPr>
        <w:t xml:space="preserve"> 外观造型设计表</w:t>
      </w:r>
    </w:p>
    <w:tbl>
      <w:tblPr>
        <w:tblStyle w:val="30"/>
        <w:tblW w:w="4998"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0" w:type="dxa"/>
          <w:bottom w:w="0" w:type="dxa"/>
          <w:right w:w="0" w:type="dxa"/>
        </w:tblCellMar>
      </w:tblPr>
      <w:tblGrid>
        <w:gridCol w:w="1553"/>
        <w:gridCol w:w="6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4" w:hRule="exact"/>
        </w:trPr>
        <w:tc>
          <w:tcPr>
            <w:tcW w:w="932" w:type="pct"/>
            <w:tcBorders>
              <w:tl2br w:val="nil"/>
              <w:tr2bl w:val="nil"/>
            </w:tcBorders>
            <w:shd w:val="clear" w:color="auto" w:fill="auto"/>
            <w:tcMar>
              <w:top w:w="15" w:type="dxa"/>
              <w:left w:w="15" w:type="dxa"/>
              <w:right w:w="15" w:type="dxa"/>
            </w:tcMar>
            <w:vAlign w:val="center"/>
          </w:tcPr>
          <w:p>
            <w:pPr>
              <w:pStyle w:val="43"/>
              <w:spacing w:before="156" w:after="156"/>
            </w:pPr>
            <w:r>
              <w:rPr>
                <w:rFonts w:hint="eastAsia"/>
              </w:rPr>
              <w:t>外观结构</w:t>
            </w:r>
          </w:p>
        </w:tc>
        <w:tc>
          <w:tcPr>
            <w:tcW w:w="4067" w:type="pct"/>
            <w:tcBorders>
              <w:tl2br w:val="nil"/>
              <w:tr2bl w:val="nil"/>
            </w:tcBorders>
            <w:shd w:val="clear" w:color="auto" w:fill="auto"/>
            <w:tcMar>
              <w:top w:w="15" w:type="dxa"/>
              <w:left w:w="15" w:type="dxa"/>
              <w:right w:w="15" w:type="dxa"/>
            </w:tcMar>
            <w:vAlign w:val="center"/>
          </w:tcPr>
          <w:p>
            <w:pPr>
              <w:pStyle w:val="43"/>
              <w:spacing w:before="156" w:after="156"/>
              <w:jc w:val="left"/>
            </w:pPr>
            <w:r>
              <w:rPr>
                <w:rFonts w:hint="eastAsia"/>
              </w:rPr>
              <w:t>上外壳、下外壳、磁吸片</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4" w:hRule="exact"/>
        </w:trPr>
        <w:tc>
          <w:tcPr>
            <w:tcW w:w="932" w:type="pct"/>
            <w:tcBorders>
              <w:tl2br w:val="nil"/>
              <w:tr2bl w:val="nil"/>
            </w:tcBorders>
            <w:shd w:val="clear" w:color="auto" w:fill="auto"/>
            <w:tcMar>
              <w:top w:w="15" w:type="dxa"/>
              <w:left w:w="15" w:type="dxa"/>
              <w:right w:w="15" w:type="dxa"/>
            </w:tcMar>
            <w:vAlign w:val="center"/>
          </w:tcPr>
          <w:p>
            <w:pPr>
              <w:pStyle w:val="43"/>
              <w:spacing w:before="156" w:after="156"/>
            </w:pPr>
            <w:r>
              <w:rPr>
                <w:rFonts w:hint="eastAsia"/>
              </w:rPr>
              <w:t>表面工艺</w:t>
            </w:r>
          </w:p>
        </w:tc>
        <w:tc>
          <w:tcPr>
            <w:tcW w:w="4067" w:type="pct"/>
            <w:tcBorders>
              <w:tl2br w:val="nil"/>
              <w:tr2bl w:val="nil"/>
            </w:tcBorders>
            <w:shd w:val="clear" w:color="auto" w:fill="auto"/>
            <w:tcMar>
              <w:top w:w="15" w:type="dxa"/>
              <w:left w:w="15" w:type="dxa"/>
              <w:right w:w="15" w:type="dxa"/>
            </w:tcMar>
            <w:vAlign w:val="center"/>
          </w:tcPr>
          <w:p>
            <w:pPr>
              <w:pStyle w:val="43"/>
              <w:spacing w:before="156" w:after="156"/>
              <w:jc w:val="left"/>
            </w:pPr>
            <w:r>
              <w:rPr>
                <w:rFonts w:hint="eastAsia"/>
              </w:rPr>
              <w:t>喷漆、哑光，主色白色，兼色灰色</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4" w:hRule="exact"/>
        </w:trPr>
        <w:tc>
          <w:tcPr>
            <w:tcW w:w="932" w:type="pct"/>
            <w:tcBorders>
              <w:tl2br w:val="nil"/>
              <w:tr2bl w:val="nil"/>
            </w:tcBorders>
            <w:shd w:val="clear" w:color="auto" w:fill="auto"/>
            <w:tcMar>
              <w:top w:w="15" w:type="dxa"/>
              <w:left w:w="15" w:type="dxa"/>
              <w:right w:w="15" w:type="dxa"/>
            </w:tcMar>
            <w:vAlign w:val="center"/>
          </w:tcPr>
          <w:p>
            <w:pPr>
              <w:pStyle w:val="43"/>
              <w:spacing w:before="156" w:after="156"/>
            </w:pPr>
            <w:r>
              <w:rPr>
                <w:rFonts w:hint="eastAsia"/>
              </w:rPr>
              <w:t>文字</w:t>
            </w:r>
          </w:p>
        </w:tc>
        <w:tc>
          <w:tcPr>
            <w:tcW w:w="4067" w:type="pct"/>
            <w:tcBorders>
              <w:tl2br w:val="nil"/>
              <w:tr2bl w:val="nil"/>
            </w:tcBorders>
            <w:shd w:val="clear" w:color="auto" w:fill="auto"/>
            <w:tcMar>
              <w:top w:w="15" w:type="dxa"/>
              <w:left w:w="15" w:type="dxa"/>
              <w:right w:w="15" w:type="dxa"/>
            </w:tcMar>
            <w:vAlign w:val="center"/>
          </w:tcPr>
          <w:p>
            <w:pPr>
              <w:pStyle w:val="43"/>
              <w:spacing w:before="156" w:after="156"/>
              <w:jc w:val="left"/>
            </w:pPr>
            <w:r>
              <w:rPr>
                <w:rFonts w:hint="eastAsia"/>
              </w:rPr>
              <w:t>丝印或激光雕刻</w:t>
            </w:r>
          </w:p>
        </w:tc>
      </w:tr>
    </w:tbl>
    <w:p>
      <w:pPr>
        <w:pStyle w:val="4"/>
        <w:spacing w:before="156" w:after="156"/>
      </w:pPr>
      <w:bookmarkStart w:id="19" w:name="_Toc10946"/>
      <w:bookmarkStart w:id="20" w:name="_Toc9733"/>
      <w:r>
        <w:rPr>
          <w:rFonts w:hint="eastAsia"/>
        </w:rPr>
        <w:t>详细设计概述</w:t>
      </w:r>
      <w:bookmarkEnd w:id="19"/>
      <w:bookmarkEnd w:id="20"/>
    </w:p>
    <w:p>
      <w:pPr>
        <w:pStyle w:val="43"/>
        <w:spacing w:before="156" w:after="156"/>
      </w:pPr>
      <w:r>
        <w:drawing>
          <wp:inline distT="0" distB="0" distL="114300" distR="114300">
            <wp:extent cx="2970530" cy="3112135"/>
            <wp:effectExtent l="0" t="0" r="1270"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2970530" cy="3112135"/>
                    </a:xfrm>
                    <a:prstGeom prst="rect">
                      <a:avLst/>
                    </a:prstGeom>
                    <a:noFill/>
                    <a:ln>
                      <a:noFill/>
                    </a:ln>
                  </pic:spPr>
                </pic:pic>
              </a:graphicData>
            </a:graphic>
          </wp:inline>
        </w:drawing>
      </w:r>
    </w:p>
    <w:p>
      <w:pPr>
        <w:pStyle w:val="13"/>
        <w:spacing w:before="156" w:after="156"/>
        <w:rPr>
          <w:rFonts w:eastAsia="宋体"/>
        </w:rPr>
      </w:pPr>
      <w:r>
        <w:t xml:space="preserve">图 </w:t>
      </w:r>
      <w:r>
        <w:fldChar w:fldCharType="begin"/>
      </w:r>
      <w:r>
        <w:instrText xml:space="preserve"> SEQ 图 \* ARABIC </w:instrText>
      </w:r>
      <w:r>
        <w:fldChar w:fldCharType="separate"/>
      </w:r>
      <w:r>
        <w:t>2</w:t>
      </w:r>
      <w:r>
        <w:fldChar w:fldCharType="end"/>
      </w:r>
      <w:r>
        <w:rPr>
          <w:rFonts w:hint="eastAsia"/>
        </w:rPr>
        <w:t xml:space="preserve"> 整机结构总成图</w:t>
      </w:r>
    </w:p>
    <w:p>
      <w:pPr>
        <w:spacing w:before="156" w:after="156"/>
      </w:pPr>
      <w:r>
        <w:rPr>
          <w:rFonts w:hint="eastAsia"/>
        </w:rPr>
        <w:t>在完成初步产品结构堆叠设计后，针对电池仓选型、衍射片、激光发射器的选型进行相应的装配设计，并针对衍射片的安装特点，转轮和防掉落板夹紧固定的方式完成衍射片的固定安装。</w:t>
      </w:r>
    </w:p>
    <w:p>
      <w:pPr>
        <w:pStyle w:val="13"/>
        <w:spacing w:before="156" w:after="156"/>
      </w:pPr>
      <w:r>
        <w:t xml:space="preserve">表 </w:t>
      </w:r>
      <w:r>
        <w:fldChar w:fldCharType="begin"/>
      </w:r>
      <w:r>
        <w:instrText xml:space="preserve"> SEQ 表 \* ARABIC </w:instrText>
      </w:r>
      <w:r>
        <w:fldChar w:fldCharType="separate"/>
      </w:r>
      <w:r>
        <w:t>2</w:t>
      </w:r>
      <w:r>
        <w:fldChar w:fldCharType="end"/>
      </w:r>
      <w:r>
        <w:rPr>
          <w:rFonts w:hint="eastAsia"/>
        </w:rPr>
        <w:t xml:space="preserve"> 零部件功能描述表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1466"/>
        <w:gridCol w:w="6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序号</w:t>
            </w:r>
          </w:p>
        </w:tc>
        <w:tc>
          <w:tcPr>
            <w:tcW w:w="1466" w:type="dxa"/>
          </w:tcPr>
          <w:p>
            <w:pPr>
              <w:pStyle w:val="43"/>
              <w:spacing w:before="156" w:after="156"/>
              <w:rPr>
                <w:rFonts w:eastAsiaTheme="minorEastAsia"/>
              </w:rPr>
            </w:pPr>
            <w:r>
              <w:rPr>
                <w:rFonts w:hint="eastAsia" w:eastAsiaTheme="minorEastAsia"/>
              </w:rPr>
              <w:t>零件</w:t>
            </w:r>
          </w:p>
        </w:tc>
        <w:tc>
          <w:tcPr>
            <w:tcW w:w="6355" w:type="dxa"/>
          </w:tcPr>
          <w:p>
            <w:pPr>
              <w:pStyle w:val="43"/>
              <w:spacing w:before="156" w:after="156"/>
              <w:rPr>
                <w:rFonts w:eastAsiaTheme="minorEastAsia"/>
              </w:rPr>
            </w:pPr>
            <w:r>
              <w:rPr>
                <w:rFonts w:hint="eastAsia" w:eastAsiaTheme="minor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1</w:t>
            </w:r>
          </w:p>
        </w:tc>
        <w:tc>
          <w:tcPr>
            <w:tcW w:w="1466" w:type="dxa"/>
          </w:tcPr>
          <w:p>
            <w:pPr>
              <w:pStyle w:val="43"/>
              <w:spacing w:before="156" w:after="156"/>
              <w:rPr>
                <w:rFonts w:eastAsiaTheme="minorEastAsia"/>
              </w:rPr>
            </w:pPr>
            <w:r>
              <w:rPr>
                <w:rFonts w:hint="eastAsia" w:eastAsiaTheme="minorEastAsia"/>
              </w:rPr>
              <w:t>上外壳</w:t>
            </w:r>
          </w:p>
        </w:tc>
        <w:tc>
          <w:tcPr>
            <w:tcW w:w="6355" w:type="dxa"/>
          </w:tcPr>
          <w:p>
            <w:pPr>
              <w:pStyle w:val="43"/>
              <w:spacing w:before="156" w:after="156"/>
              <w:rPr>
                <w:rFonts w:eastAsiaTheme="minorEastAsia"/>
              </w:rPr>
            </w:pPr>
            <w:r>
              <w:rPr>
                <w:rFonts w:hint="eastAsia" w:eastAsiaTheme="minorEastAsia"/>
              </w:rPr>
              <w:t>产品主体外壳，提供支撑、定位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2</w:t>
            </w:r>
          </w:p>
        </w:tc>
        <w:tc>
          <w:tcPr>
            <w:tcW w:w="1466" w:type="dxa"/>
          </w:tcPr>
          <w:p>
            <w:pPr>
              <w:pStyle w:val="43"/>
              <w:spacing w:before="156" w:after="156"/>
              <w:rPr>
                <w:rFonts w:eastAsiaTheme="minorEastAsia"/>
              </w:rPr>
            </w:pPr>
            <w:r>
              <w:rPr>
                <w:rFonts w:hint="eastAsia" w:eastAsiaTheme="minorEastAsia"/>
              </w:rPr>
              <w:t>衍射片</w:t>
            </w:r>
          </w:p>
        </w:tc>
        <w:tc>
          <w:tcPr>
            <w:tcW w:w="6355" w:type="dxa"/>
          </w:tcPr>
          <w:p>
            <w:pPr>
              <w:pStyle w:val="43"/>
              <w:spacing w:before="156" w:after="156"/>
              <w:rPr>
                <w:rFonts w:eastAsiaTheme="minorEastAsia"/>
              </w:rPr>
            </w:pPr>
            <w:r>
              <w:rPr>
                <w:rFonts w:hint="eastAsia" w:eastAsiaTheme="minorEastAsia"/>
              </w:rPr>
              <w:t>使激光发射器发射出的激光发生衍射，产生不同规格的激光点阵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3</w:t>
            </w:r>
          </w:p>
        </w:tc>
        <w:tc>
          <w:tcPr>
            <w:tcW w:w="1466" w:type="dxa"/>
          </w:tcPr>
          <w:p>
            <w:pPr>
              <w:pStyle w:val="43"/>
              <w:spacing w:before="156" w:after="156"/>
              <w:rPr>
                <w:rFonts w:eastAsiaTheme="minorEastAsia"/>
              </w:rPr>
            </w:pPr>
            <w:r>
              <w:rPr>
                <w:rFonts w:hint="eastAsia" w:eastAsiaTheme="minorEastAsia"/>
              </w:rPr>
              <w:t>开关</w:t>
            </w:r>
          </w:p>
        </w:tc>
        <w:tc>
          <w:tcPr>
            <w:tcW w:w="6355" w:type="dxa"/>
          </w:tcPr>
          <w:p>
            <w:pPr>
              <w:pStyle w:val="43"/>
              <w:spacing w:before="156" w:after="156"/>
              <w:rPr>
                <w:rFonts w:eastAsiaTheme="minorEastAsia"/>
              </w:rPr>
            </w:pPr>
            <w:r>
              <w:rPr>
                <w:rFonts w:hint="eastAsia" w:eastAsiaTheme="minorEastAsia"/>
              </w:rPr>
              <w:t>用于控制激光控制板电路通断、激光亮度的调节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4</w:t>
            </w:r>
          </w:p>
        </w:tc>
        <w:tc>
          <w:tcPr>
            <w:tcW w:w="1466" w:type="dxa"/>
          </w:tcPr>
          <w:p>
            <w:pPr>
              <w:pStyle w:val="43"/>
              <w:spacing w:before="156" w:after="156"/>
              <w:rPr>
                <w:rFonts w:eastAsiaTheme="minorEastAsia"/>
              </w:rPr>
            </w:pPr>
            <w:r>
              <w:rPr>
                <w:rFonts w:hint="eastAsia" w:eastAsiaTheme="minorEastAsia"/>
              </w:rPr>
              <w:t>激光控制板</w:t>
            </w:r>
          </w:p>
        </w:tc>
        <w:tc>
          <w:tcPr>
            <w:tcW w:w="6355" w:type="dxa"/>
          </w:tcPr>
          <w:p>
            <w:pPr>
              <w:pStyle w:val="43"/>
              <w:spacing w:before="156" w:after="156"/>
              <w:rPr>
                <w:rFonts w:eastAsiaTheme="minorEastAsia"/>
              </w:rPr>
            </w:pPr>
            <w:r>
              <w:rPr>
                <w:rFonts w:hint="eastAsia" w:eastAsiaTheme="minorEastAsia"/>
              </w:rPr>
              <w:t>为产品提供电源、信号判断、输入输出电流控制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5</w:t>
            </w:r>
          </w:p>
        </w:tc>
        <w:tc>
          <w:tcPr>
            <w:tcW w:w="1466" w:type="dxa"/>
          </w:tcPr>
          <w:p>
            <w:pPr>
              <w:pStyle w:val="43"/>
              <w:spacing w:before="156" w:after="156"/>
              <w:rPr>
                <w:rFonts w:eastAsiaTheme="minorEastAsia"/>
              </w:rPr>
            </w:pPr>
            <w:r>
              <w:rPr>
                <w:rFonts w:hint="eastAsia" w:eastAsiaTheme="minorEastAsia"/>
              </w:rPr>
              <w:t>磁吸片</w:t>
            </w:r>
          </w:p>
        </w:tc>
        <w:tc>
          <w:tcPr>
            <w:tcW w:w="6355" w:type="dxa"/>
          </w:tcPr>
          <w:p>
            <w:pPr>
              <w:pStyle w:val="43"/>
              <w:spacing w:before="156" w:after="156"/>
              <w:rPr>
                <w:rFonts w:eastAsiaTheme="minorEastAsia"/>
              </w:rPr>
            </w:pPr>
            <w:r>
              <w:rPr>
                <w:rFonts w:hint="eastAsia" w:eastAsiaTheme="minorEastAsia"/>
              </w:rPr>
              <w:t xml:space="preserve">粘贴与下外壳上，用于与外部磁铁或具有磁性功能的连接设备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6</w:t>
            </w:r>
          </w:p>
        </w:tc>
        <w:tc>
          <w:tcPr>
            <w:tcW w:w="1466" w:type="dxa"/>
          </w:tcPr>
          <w:p>
            <w:pPr>
              <w:pStyle w:val="43"/>
              <w:spacing w:before="156" w:after="156"/>
              <w:rPr>
                <w:rFonts w:eastAsiaTheme="minorEastAsia"/>
              </w:rPr>
            </w:pPr>
            <w:r>
              <w:rPr>
                <w:rFonts w:hint="eastAsia" w:eastAsiaTheme="minorEastAsia"/>
              </w:rPr>
              <w:t>下外壳</w:t>
            </w:r>
          </w:p>
        </w:tc>
        <w:tc>
          <w:tcPr>
            <w:tcW w:w="6355" w:type="dxa"/>
          </w:tcPr>
          <w:p>
            <w:pPr>
              <w:pStyle w:val="43"/>
              <w:spacing w:before="156" w:after="156"/>
              <w:rPr>
                <w:rFonts w:eastAsiaTheme="minorEastAsia"/>
              </w:rPr>
            </w:pPr>
            <w:r>
              <w:rPr>
                <w:rFonts w:hint="eastAsia" w:eastAsiaTheme="minorEastAsia"/>
              </w:rPr>
              <w:t>产品主体外壳，为所有激光控制板、转轮、弹簧等提供支撑、定位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7</w:t>
            </w:r>
          </w:p>
        </w:tc>
        <w:tc>
          <w:tcPr>
            <w:tcW w:w="1466" w:type="dxa"/>
          </w:tcPr>
          <w:p>
            <w:pPr>
              <w:pStyle w:val="43"/>
              <w:spacing w:before="156" w:after="156"/>
              <w:rPr>
                <w:rFonts w:eastAsiaTheme="minorEastAsia"/>
              </w:rPr>
            </w:pPr>
            <w:r>
              <w:rPr>
                <w:rFonts w:hint="eastAsia" w:eastAsiaTheme="minorEastAsia"/>
              </w:rPr>
              <w:t>激光发射器</w:t>
            </w:r>
          </w:p>
        </w:tc>
        <w:tc>
          <w:tcPr>
            <w:tcW w:w="6355" w:type="dxa"/>
          </w:tcPr>
          <w:p>
            <w:pPr>
              <w:pStyle w:val="43"/>
              <w:spacing w:before="156" w:after="156"/>
              <w:rPr>
                <w:rFonts w:eastAsiaTheme="minorEastAsia"/>
              </w:rPr>
            </w:pPr>
            <w:r>
              <w:rPr>
                <w:rFonts w:hint="eastAsia" w:eastAsiaTheme="minorEastAsia"/>
              </w:rPr>
              <w:t>发射520nm±10nm波长范围内的激光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8</w:t>
            </w:r>
          </w:p>
        </w:tc>
        <w:tc>
          <w:tcPr>
            <w:tcW w:w="1466" w:type="dxa"/>
          </w:tcPr>
          <w:p>
            <w:pPr>
              <w:pStyle w:val="43"/>
              <w:spacing w:before="156" w:after="156"/>
              <w:rPr>
                <w:rFonts w:eastAsiaTheme="minorEastAsia"/>
              </w:rPr>
            </w:pPr>
            <w:r>
              <w:rPr>
                <w:rFonts w:hint="eastAsia" w:eastAsiaTheme="minorEastAsia"/>
              </w:rPr>
              <w:t>转动轴</w:t>
            </w:r>
          </w:p>
        </w:tc>
        <w:tc>
          <w:tcPr>
            <w:tcW w:w="6355" w:type="dxa"/>
          </w:tcPr>
          <w:p>
            <w:pPr>
              <w:pStyle w:val="43"/>
              <w:spacing w:before="156" w:after="156"/>
              <w:rPr>
                <w:rFonts w:eastAsiaTheme="minorEastAsia"/>
              </w:rPr>
            </w:pPr>
            <w:r>
              <w:rPr>
                <w:rFonts w:hint="eastAsia" w:eastAsiaTheme="minorEastAsia"/>
              </w:rPr>
              <w:t>在弹簧的作用下，可在下外壳内上下平动</w:t>
            </w:r>
          </w:p>
          <w:p>
            <w:pPr>
              <w:pStyle w:val="43"/>
              <w:spacing w:before="156" w:after="156"/>
              <w:rPr>
                <w:rFonts w:eastAsiaTheme="minorEastAsia"/>
              </w:rPr>
            </w:pPr>
            <w:r>
              <w:rPr>
                <w:rFonts w:hint="eastAsia" w:eastAsiaTheme="minorEastAsia"/>
              </w:rPr>
              <w:t>齿形与转轮的齿形互补，用于转轴紧固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exact"/>
        </w:trPr>
        <w:tc>
          <w:tcPr>
            <w:tcW w:w="701" w:type="dxa"/>
          </w:tcPr>
          <w:p>
            <w:pPr>
              <w:pStyle w:val="43"/>
              <w:spacing w:before="156" w:after="156"/>
              <w:rPr>
                <w:rFonts w:eastAsiaTheme="minorEastAsia"/>
              </w:rPr>
            </w:pPr>
            <w:r>
              <w:rPr>
                <w:rFonts w:hint="eastAsia" w:eastAsiaTheme="minorEastAsia"/>
              </w:rPr>
              <w:t>9</w:t>
            </w:r>
          </w:p>
        </w:tc>
        <w:tc>
          <w:tcPr>
            <w:tcW w:w="1466" w:type="dxa"/>
          </w:tcPr>
          <w:p>
            <w:pPr>
              <w:pStyle w:val="43"/>
              <w:spacing w:before="156" w:after="156"/>
              <w:rPr>
                <w:rFonts w:eastAsiaTheme="minorEastAsia"/>
              </w:rPr>
            </w:pPr>
            <w:r>
              <w:rPr>
                <w:rFonts w:hint="eastAsia" w:eastAsiaTheme="minorEastAsia"/>
              </w:rPr>
              <w:t>转轮</w:t>
            </w:r>
          </w:p>
        </w:tc>
        <w:tc>
          <w:tcPr>
            <w:tcW w:w="6355" w:type="dxa"/>
          </w:tcPr>
          <w:p>
            <w:pPr>
              <w:pStyle w:val="43"/>
              <w:spacing w:before="156" w:after="156"/>
              <w:rPr>
                <w:rFonts w:eastAsiaTheme="minorEastAsia"/>
              </w:rPr>
            </w:pPr>
            <w:r>
              <w:rPr>
                <w:rFonts w:hint="eastAsia" w:eastAsiaTheme="minorEastAsia"/>
              </w:rPr>
              <w:t>固定衍射片，可通过转动转轮，使激光经不同规格的衍射片后产生不同的激光点阵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701" w:type="dxa"/>
          </w:tcPr>
          <w:p>
            <w:pPr>
              <w:pStyle w:val="43"/>
              <w:spacing w:before="156" w:after="156"/>
              <w:rPr>
                <w:rFonts w:eastAsiaTheme="minorEastAsia"/>
              </w:rPr>
            </w:pPr>
            <w:r>
              <w:rPr>
                <w:rFonts w:hint="eastAsia" w:eastAsiaTheme="minorEastAsia"/>
              </w:rPr>
              <w:t>10</w:t>
            </w:r>
          </w:p>
        </w:tc>
        <w:tc>
          <w:tcPr>
            <w:tcW w:w="1466" w:type="dxa"/>
          </w:tcPr>
          <w:p>
            <w:pPr>
              <w:pStyle w:val="43"/>
              <w:spacing w:before="156" w:after="156"/>
              <w:rPr>
                <w:rFonts w:eastAsiaTheme="minorEastAsia"/>
              </w:rPr>
            </w:pPr>
            <w:r>
              <w:rPr>
                <w:rFonts w:hint="eastAsia" w:eastAsiaTheme="minorEastAsia"/>
              </w:rPr>
              <w:t>防掉落板</w:t>
            </w:r>
          </w:p>
        </w:tc>
        <w:tc>
          <w:tcPr>
            <w:tcW w:w="6355" w:type="dxa"/>
          </w:tcPr>
          <w:p>
            <w:pPr>
              <w:pStyle w:val="43"/>
              <w:spacing w:before="156" w:after="156"/>
              <w:rPr>
                <w:rFonts w:eastAsiaTheme="minorEastAsia"/>
              </w:rPr>
            </w:pPr>
            <w:r>
              <w:rPr>
                <w:rFonts w:hint="eastAsia" w:eastAsiaTheme="minorEastAsia"/>
              </w:rPr>
              <w:t>压紧衍射片，放置衍射片出现松动、掉落的情况</w:t>
            </w:r>
          </w:p>
        </w:tc>
      </w:tr>
    </w:tbl>
    <w:p>
      <w:pPr>
        <w:spacing w:before="156" w:after="156"/>
      </w:pPr>
      <w:r>
        <w:rPr>
          <w:rFonts w:hint="eastAsia"/>
        </w:rPr>
        <w:t>在产品外观方面，结合规划模块、导引模块、工具包、体位反馈模块的使用场景和使用空间位置，选用与规划模块、导引模块相同的颜色，既增加产品的外观一致性，也可以降低生产加工难度。</w:t>
      </w:r>
    </w:p>
    <w:p>
      <w:pPr>
        <w:pStyle w:val="4"/>
        <w:spacing w:before="156" w:after="156"/>
      </w:pPr>
      <w:bookmarkStart w:id="21" w:name="_Toc4952"/>
      <w:bookmarkStart w:id="22" w:name="_Toc24450"/>
      <w:r>
        <w:rPr>
          <w:rFonts w:hint="eastAsia"/>
        </w:rPr>
        <w:t>结构详细设计说明</w:t>
      </w:r>
      <w:bookmarkEnd w:id="21"/>
      <w:bookmarkEnd w:id="22"/>
    </w:p>
    <w:p>
      <w:pPr>
        <w:pStyle w:val="5"/>
        <w:spacing w:before="156" w:after="156"/>
      </w:pPr>
      <w:bookmarkStart w:id="23" w:name="_Toc12393"/>
      <w:r>
        <w:rPr>
          <w:rFonts w:hint="eastAsia"/>
        </w:rPr>
        <w:t>衍射片固定设计</w:t>
      </w:r>
      <w:bookmarkEnd w:id="23"/>
    </w:p>
    <w:p>
      <w:pPr>
        <w:spacing w:before="156" w:after="156"/>
      </w:pPr>
      <w:r>
        <w:rPr>
          <w:rFonts w:hint="eastAsia"/>
        </w:rPr>
        <w:t>体位反馈模块中为满足不同规格衍射片的更换，采用在一件转轮中均布4处凹槽，槽内可放置衍射片，在转轮外圈设计花纹，以提高摩擦力，便于完成转轮的转动，达到更换衍射片的目的。</w:t>
      </w:r>
    </w:p>
    <w:p>
      <w:pPr>
        <w:spacing w:before="156" w:after="156"/>
      </w:pPr>
      <w:r>
        <w:rPr>
          <w:rFonts w:hint="eastAsia"/>
        </w:rPr>
        <w:t>同时，采用防掉落板压紧衍射片，将衍射片紧固在转轮的凹槽内，不会因为震动、翻滚等造成衍射片掉落。防掉落板与转轮采用轴孔配合，用于提升转轮与防掉落板的定位精度，并将防掉落板中用于透光的透光孔设计为圆形，既具备压紧衍射片的功能，也可以对衍射片的配合槽孔进行修饰，提升了装配后的美观度。</w:t>
      </w:r>
    </w:p>
    <w:p>
      <w:pPr>
        <w:spacing w:before="156" w:after="156"/>
      </w:pPr>
      <w:r>
        <w:rPr>
          <w:rFonts w:hint="eastAsia"/>
        </w:rPr>
        <w:t>转动轴与转轮采用同心布置，并且在转动轴上设计有啮合齿形，该啮合齿形与转轮上的啮合齿形滑动配合，可在转轮转动一定角度后，达到固定的目的。从而使衍射片在每次转动后，都可以得到一个固定的旋转角度以及稳固的配合结构。</w:t>
      </w:r>
    </w:p>
    <w:p>
      <w:pPr>
        <w:pStyle w:val="43"/>
        <w:spacing w:before="156" w:after="156"/>
      </w:pPr>
      <w:r>
        <w:drawing>
          <wp:inline distT="0" distB="0" distL="114300" distR="114300">
            <wp:extent cx="1261110" cy="1414145"/>
            <wp:effectExtent l="0" t="0" r="1524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rcRect r="4801" b="-222"/>
                    <a:stretch>
                      <a:fillRect/>
                    </a:stretch>
                  </pic:blipFill>
                  <pic:spPr>
                    <a:xfrm>
                      <a:off x="0" y="0"/>
                      <a:ext cx="1261110" cy="1414145"/>
                    </a:xfrm>
                    <a:prstGeom prst="rect">
                      <a:avLst/>
                    </a:prstGeom>
                    <a:noFill/>
                    <a:ln>
                      <a:noFill/>
                    </a:ln>
                  </pic:spPr>
                </pic:pic>
              </a:graphicData>
            </a:graphic>
          </wp:inline>
        </w:drawing>
      </w:r>
      <w:r>
        <w:rPr>
          <w:rFonts w:hint="eastAsia"/>
        </w:rPr>
        <w:t xml:space="preserve">    </w:t>
      </w:r>
      <w:r>
        <w:drawing>
          <wp:inline distT="0" distB="0" distL="114300" distR="114300">
            <wp:extent cx="1420495" cy="954405"/>
            <wp:effectExtent l="0" t="0" r="171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rot="16200000">
                      <a:off x="0" y="0"/>
                      <a:ext cx="1420495" cy="954405"/>
                    </a:xfrm>
                    <a:prstGeom prst="rect">
                      <a:avLst/>
                    </a:prstGeom>
                    <a:noFill/>
                    <a:ln>
                      <a:noFill/>
                    </a:ln>
                  </pic:spPr>
                </pic:pic>
              </a:graphicData>
            </a:graphic>
          </wp:inline>
        </w:drawing>
      </w:r>
      <w:r>
        <w:rPr>
          <w:rFonts w:hint="eastAsia"/>
        </w:rPr>
        <w:t xml:space="preserve">    </w:t>
      </w:r>
      <w:r>
        <w:drawing>
          <wp:inline distT="0" distB="0" distL="114300" distR="114300">
            <wp:extent cx="1024890" cy="1411605"/>
            <wp:effectExtent l="0" t="0" r="3810" b="171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4"/>
                    <a:srcRect r="7394" b="-977"/>
                    <a:stretch>
                      <a:fillRect/>
                    </a:stretch>
                  </pic:blipFill>
                  <pic:spPr>
                    <a:xfrm>
                      <a:off x="0" y="0"/>
                      <a:ext cx="1024890" cy="1411605"/>
                    </a:xfrm>
                    <a:prstGeom prst="rect">
                      <a:avLst/>
                    </a:prstGeom>
                    <a:noFill/>
                    <a:ln>
                      <a:noFill/>
                    </a:ln>
                  </pic:spPr>
                </pic:pic>
              </a:graphicData>
            </a:graphic>
          </wp:inline>
        </w:drawing>
      </w:r>
    </w:p>
    <w:p>
      <w:pPr>
        <w:pStyle w:val="13"/>
        <w:spacing w:before="156" w:after="156"/>
      </w:pPr>
      <w:r>
        <w:rPr>
          <w:rFonts w:hint="eastAsia"/>
        </w:rPr>
        <w:t xml:space="preserve">   a.转轮                b.防掉落板              c.转动轴</w:t>
      </w:r>
    </w:p>
    <w:p>
      <w:pPr>
        <w:pStyle w:val="13"/>
        <w:spacing w:before="156" w:after="156"/>
        <w:rPr>
          <w:rFonts w:eastAsia="宋体"/>
        </w:rPr>
      </w:pPr>
      <w:r>
        <w:t xml:space="preserve">图 </w:t>
      </w:r>
      <w:r>
        <w:fldChar w:fldCharType="begin"/>
      </w:r>
      <w:r>
        <w:instrText xml:space="preserve"> SEQ 图 \* ARABIC </w:instrText>
      </w:r>
      <w:r>
        <w:fldChar w:fldCharType="separate"/>
      </w:r>
      <w:r>
        <w:t>3</w:t>
      </w:r>
      <w:r>
        <w:fldChar w:fldCharType="end"/>
      </w:r>
      <w:r>
        <w:rPr>
          <w:rFonts w:hint="eastAsia"/>
        </w:rPr>
        <w:t xml:space="preserve"> 旋转结构设计图</w:t>
      </w:r>
    </w:p>
    <w:p>
      <w:pPr>
        <w:spacing w:before="156" w:after="156"/>
      </w:pPr>
      <w:r>
        <w:rPr>
          <w:rFonts w:hint="eastAsia"/>
        </w:rPr>
        <w:t xml:space="preserve">衍射片在装配后，被紧固在转轮与防掉落板间。激光可透过衍射片从防掉落板内的4个圆孔内穿过，并再经衍射片后，产生不同规格的规则点阵。  </w:t>
      </w:r>
    </w:p>
    <w:p>
      <w:pPr>
        <w:pStyle w:val="43"/>
        <w:spacing w:before="156" w:after="156"/>
      </w:pPr>
      <w:r>
        <w:drawing>
          <wp:inline distT="0" distB="0" distL="114935" distR="114935">
            <wp:extent cx="1978025" cy="1412240"/>
            <wp:effectExtent l="0" t="0" r="317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1982489" cy="1415646"/>
                    </a:xfrm>
                    <a:prstGeom prst="rect">
                      <a:avLst/>
                    </a:prstGeom>
                    <a:noFill/>
                    <a:ln>
                      <a:noFill/>
                    </a:ln>
                  </pic:spPr>
                </pic:pic>
              </a:graphicData>
            </a:graphic>
          </wp:inline>
        </w:drawing>
      </w:r>
      <w:r>
        <w:rPr>
          <w:rFonts w:hint="eastAsia"/>
        </w:rPr>
        <w:t xml:space="preserve">       </w:t>
      </w:r>
      <w:r>
        <w:drawing>
          <wp:inline distT="0" distB="0" distL="114935" distR="114935">
            <wp:extent cx="1840230" cy="1390650"/>
            <wp:effectExtent l="0" t="0" r="762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1850336" cy="1398383"/>
                    </a:xfrm>
                    <a:prstGeom prst="rect">
                      <a:avLst/>
                    </a:prstGeom>
                    <a:noFill/>
                    <a:ln>
                      <a:noFill/>
                    </a:ln>
                  </pic:spPr>
                </pic:pic>
              </a:graphicData>
            </a:graphic>
          </wp:inline>
        </w:drawing>
      </w:r>
    </w:p>
    <w:p>
      <w:pPr>
        <w:pStyle w:val="13"/>
        <w:spacing w:before="156" w:after="156"/>
        <w:ind w:firstLine="2000" w:firstLineChars="1000"/>
        <w:jc w:val="both"/>
      </w:pPr>
      <w:r>
        <w:rPr>
          <w:rFonts w:hint="eastAsia"/>
        </w:rPr>
        <w:t>a.正装                              b.反装</w:t>
      </w:r>
    </w:p>
    <w:p>
      <w:pPr>
        <w:pStyle w:val="13"/>
        <w:spacing w:before="156" w:after="156"/>
        <w:rPr>
          <w:rFonts w:eastAsia="宋体"/>
        </w:rPr>
      </w:pPr>
      <w:r>
        <w:t xml:space="preserve">图 </w:t>
      </w:r>
      <w:r>
        <w:fldChar w:fldCharType="begin"/>
      </w:r>
      <w:r>
        <w:instrText xml:space="preserve"> SEQ 图 \* ARABIC </w:instrText>
      </w:r>
      <w:r>
        <w:fldChar w:fldCharType="separate"/>
      </w:r>
      <w:r>
        <w:t>4</w:t>
      </w:r>
      <w:r>
        <w:fldChar w:fldCharType="end"/>
      </w:r>
      <w:r>
        <w:rPr>
          <w:rFonts w:hint="eastAsia"/>
        </w:rPr>
        <w:t xml:space="preserve"> 衍射片安装图</w:t>
      </w:r>
    </w:p>
    <w:p>
      <w:pPr>
        <w:pStyle w:val="5"/>
        <w:spacing w:before="156" w:after="156"/>
      </w:pPr>
      <w:bookmarkStart w:id="24" w:name="_Toc9670"/>
      <w:r>
        <w:rPr>
          <w:rFonts w:hint="eastAsia"/>
        </w:rPr>
        <w:t>转动轴设计</w:t>
      </w:r>
      <w:bookmarkEnd w:id="24"/>
    </w:p>
    <w:p>
      <w:pPr>
        <w:spacing w:before="156" w:after="156"/>
      </w:pPr>
      <w:r>
        <w:rPr>
          <w:rFonts w:hint="eastAsia"/>
        </w:rPr>
        <w:t>转动轴有压簧一侧与下外壳配合安装，且转动轴可在与下外壳的配合位置处做上下平动。常态下，转动轴将在压簧的力作用下，与转轮中的啮合齿形始终处于配合状态，达到稳定状态。</w:t>
      </w:r>
    </w:p>
    <w:p>
      <w:pPr>
        <w:pStyle w:val="43"/>
        <w:spacing w:before="156" w:after="156"/>
      </w:pPr>
      <w:r>
        <w:drawing>
          <wp:inline distT="0" distB="0" distL="114300" distR="114300">
            <wp:extent cx="2712720" cy="16383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2716573" cy="1640475"/>
                    </a:xfrm>
                    <a:prstGeom prst="rect">
                      <a:avLst/>
                    </a:prstGeom>
                    <a:noFill/>
                    <a:ln>
                      <a:noFill/>
                    </a:ln>
                  </pic:spPr>
                </pic:pic>
              </a:graphicData>
            </a:graphic>
          </wp:inline>
        </w:drawing>
      </w:r>
      <w:r>
        <w:drawing>
          <wp:inline distT="0" distB="0" distL="114300" distR="114300">
            <wp:extent cx="2538095" cy="1596390"/>
            <wp:effectExtent l="0" t="0" r="0"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8"/>
                    <a:stretch>
                      <a:fillRect/>
                    </a:stretch>
                  </pic:blipFill>
                  <pic:spPr>
                    <a:xfrm>
                      <a:off x="0" y="0"/>
                      <a:ext cx="2538155" cy="1596390"/>
                    </a:xfrm>
                    <a:prstGeom prst="rect">
                      <a:avLst/>
                    </a:prstGeom>
                    <a:noFill/>
                    <a:ln>
                      <a:noFill/>
                    </a:ln>
                  </pic:spPr>
                </pic:pic>
              </a:graphicData>
            </a:graphic>
          </wp:inline>
        </w:drawing>
      </w:r>
    </w:p>
    <w:p>
      <w:pPr>
        <w:pStyle w:val="13"/>
        <w:spacing w:before="156" w:after="156"/>
      </w:pPr>
      <w:r>
        <w:rPr>
          <w:rFonts w:hint="eastAsia"/>
        </w:rPr>
        <w:t>a.转动轴安装位置                         b.衍射片安装位置</w:t>
      </w:r>
    </w:p>
    <w:p>
      <w:pPr>
        <w:pStyle w:val="43"/>
        <w:spacing w:before="156" w:after="156"/>
      </w:pPr>
      <w:r>
        <w:t xml:space="preserve">图 </w:t>
      </w:r>
      <w:r>
        <w:fldChar w:fldCharType="begin"/>
      </w:r>
      <w:r>
        <w:instrText xml:space="preserve"> SEQ 图 \* ARABIC </w:instrText>
      </w:r>
      <w:r>
        <w:fldChar w:fldCharType="separate"/>
      </w:r>
      <w:r>
        <w:t>5</w:t>
      </w:r>
      <w:r>
        <w:fldChar w:fldCharType="end"/>
      </w:r>
      <w:r>
        <w:rPr>
          <w:rFonts w:hint="eastAsia"/>
        </w:rPr>
        <w:t xml:space="preserve"> 体位反馈模块内部结构简图</w:t>
      </w:r>
    </w:p>
    <w:p>
      <w:pPr>
        <w:spacing w:before="156" w:after="156"/>
      </w:pPr>
      <w:r>
        <w:rPr>
          <w:rFonts w:hint="eastAsia"/>
        </w:rPr>
        <w:t>通过上述设计完成外壳内部结构设计，使其达到衍射片固定、换衍射片规格更换、电池供电的目的。</w:t>
      </w:r>
    </w:p>
    <w:p>
      <w:pPr>
        <w:pStyle w:val="5"/>
        <w:spacing w:before="156" w:after="156"/>
      </w:pPr>
      <w:bookmarkStart w:id="25" w:name="_Toc11507"/>
      <w:r>
        <w:rPr>
          <w:rFonts w:hint="eastAsia"/>
        </w:rPr>
        <w:t>外壳设计</w:t>
      </w:r>
      <w:bookmarkEnd w:id="25"/>
    </w:p>
    <w:p>
      <w:pPr>
        <w:spacing w:before="156" w:after="156"/>
      </w:pPr>
      <w:r>
        <w:rPr>
          <w:rFonts w:hint="eastAsia"/>
        </w:rPr>
        <w:t>外壳设计影响到该产品的实际使用感受，因此，尽量避免有连接结构外露的情况。上外壳与下外壳采用卡扣配合，并设计支撑凸台、定位圆柱等结构，用于电路板空间支撑、定位。</w:t>
      </w:r>
    </w:p>
    <w:p>
      <w:pPr>
        <w:pStyle w:val="43"/>
        <w:spacing w:before="156" w:after="156"/>
      </w:pPr>
      <w:r>
        <w:drawing>
          <wp:inline distT="0" distB="0" distL="114300" distR="114300">
            <wp:extent cx="2207895" cy="1696085"/>
            <wp:effectExtent l="0" t="0" r="1905" b="1841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2207895" cy="1696085"/>
                    </a:xfrm>
                    <a:prstGeom prst="rect">
                      <a:avLst/>
                    </a:prstGeom>
                    <a:noFill/>
                    <a:ln>
                      <a:noFill/>
                    </a:ln>
                  </pic:spPr>
                </pic:pic>
              </a:graphicData>
            </a:graphic>
          </wp:inline>
        </w:drawing>
      </w:r>
      <w:r>
        <w:rPr>
          <w:rFonts w:hint="eastAsia"/>
        </w:rPr>
        <w:t xml:space="preserve">     </w:t>
      </w:r>
      <w:r>
        <w:drawing>
          <wp:inline distT="0" distB="0" distL="114300" distR="114300">
            <wp:extent cx="2186940" cy="1687830"/>
            <wp:effectExtent l="0" t="0" r="3810"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0"/>
                    <a:stretch>
                      <a:fillRect/>
                    </a:stretch>
                  </pic:blipFill>
                  <pic:spPr>
                    <a:xfrm>
                      <a:off x="0" y="0"/>
                      <a:ext cx="2186940" cy="1687830"/>
                    </a:xfrm>
                    <a:prstGeom prst="rect">
                      <a:avLst/>
                    </a:prstGeom>
                    <a:noFill/>
                    <a:ln>
                      <a:noFill/>
                    </a:ln>
                  </pic:spPr>
                </pic:pic>
              </a:graphicData>
            </a:graphic>
          </wp:inline>
        </w:drawing>
      </w:r>
    </w:p>
    <w:p>
      <w:pPr>
        <w:pStyle w:val="13"/>
        <w:spacing w:before="156" w:after="156"/>
      </w:pPr>
      <w:r>
        <w:t xml:space="preserve">      </w:t>
      </w:r>
      <w:r>
        <w:rPr>
          <w:rFonts w:hint="eastAsia"/>
        </w:rPr>
        <w:t>a.下外壳设计                     b.下外壳与磁吸片配合位置设计</w:t>
      </w:r>
    </w:p>
    <w:p>
      <w:pPr>
        <w:pStyle w:val="13"/>
        <w:spacing w:before="156" w:after="156"/>
        <w:rPr>
          <w:rFonts w:eastAsia="宋体"/>
        </w:rPr>
      </w:pPr>
      <w:r>
        <w:t xml:space="preserve">图 </w:t>
      </w:r>
      <w:r>
        <w:fldChar w:fldCharType="begin"/>
      </w:r>
      <w:r>
        <w:instrText xml:space="preserve"> SEQ 图 \* ARABIC </w:instrText>
      </w:r>
      <w:r>
        <w:fldChar w:fldCharType="separate"/>
      </w:r>
      <w:r>
        <w:t>6</w:t>
      </w:r>
      <w:r>
        <w:fldChar w:fldCharType="end"/>
      </w:r>
      <w:r>
        <w:rPr>
          <w:rFonts w:hint="eastAsia"/>
        </w:rPr>
        <w:t xml:space="preserve"> 下外壳设计</w:t>
      </w:r>
    </w:p>
    <w:p>
      <w:pPr>
        <w:spacing w:before="156" w:after="156"/>
      </w:pPr>
      <w:r>
        <w:rPr>
          <w:rFonts w:hint="eastAsia"/>
        </w:rPr>
        <w:t>下外壳内设计有支撑凸台，支撑凸台用于激光控制板支撑，并设计有定位圆柱、紧固孔位，紧固孔位与十字槽盼头螺钉配合，使激光控制板通过定位圆柱和紧固孔位达到定位和固定的目的。磁吸片采用0.3mm具备磁性的金属圆片，通过3M背胶粘贴与下外壳上。</w:t>
      </w:r>
    </w:p>
    <w:p>
      <w:pPr>
        <w:spacing w:before="156" w:after="156"/>
      </w:pPr>
      <w:r>
        <w:rPr>
          <w:rFonts w:hint="eastAsia"/>
        </w:rPr>
        <w:t>上外壳设计有用于与转动轴另一端配合的定位环槽，提升转动轴的安装精度。并根据转轮的尺寸设计了转轮安装槽口，使转轮在安装后，可通过该槽口伸出部分转轮的花纹轮廓，当操作者沿转轮外侧切线方向转动该部分花纹轮廓时，达到衍射片规格的更换。开关配合孔与开关按键配合，并通过槽口配合，使开关按键只可以在上外壳内上下平动，而不能转动。激光通过激光出射孔出射，并在此处设计环形凹槽，环形凹槽内镶嵌无色透明亚克力板，并将该亚克力板外形轮廓设计为环形凸台，与该凹槽形成过盈配合，达到隔绝外壳内外部的空气流通的目的，避免异物从该凹槽掉入体位反馈模块内。</w:t>
      </w:r>
    </w:p>
    <w:p>
      <w:pPr>
        <w:pStyle w:val="43"/>
        <w:spacing w:before="156" w:after="156"/>
      </w:pPr>
      <w:r>
        <w:drawing>
          <wp:inline distT="0" distB="0" distL="114300" distR="114300">
            <wp:extent cx="2178685" cy="1706880"/>
            <wp:effectExtent l="0" t="0" r="1206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1"/>
                    <a:stretch>
                      <a:fillRect/>
                    </a:stretch>
                  </pic:blipFill>
                  <pic:spPr>
                    <a:xfrm>
                      <a:off x="0" y="0"/>
                      <a:ext cx="2178685" cy="1706880"/>
                    </a:xfrm>
                    <a:prstGeom prst="rect">
                      <a:avLst/>
                    </a:prstGeom>
                    <a:noFill/>
                    <a:ln>
                      <a:noFill/>
                    </a:ln>
                  </pic:spPr>
                </pic:pic>
              </a:graphicData>
            </a:graphic>
          </wp:inline>
        </w:drawing>
      </w:r>
      <w:r>
        <w:rPr>
          <w:rFonts w:hint="eastAsia"/>
        </w:rPr>
        <w:t xml:space="preserve">      </w:t>
      </w:r>
      <w:r>
        <w:drawing>
          <wp:inline distT="0" distB="0" distL="114300" distR="114300">
            <wp:extent cx="2288540" cy="1712595"/>
            <wp:effectExtent l="0" t="0" r="16510"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2"/>
                    <a:stretch>
                      <a:fillRect/>
                    </a:stretch>
                  </pic:blipFill>
                  <pic:spPr>
                    <a:xfrm>
                      <a:off x="0" y="0"/>
                      <a:ext cx="2288540" cy="1712595"/>
                    </a:xfrm>
                    <a:prstGeom prst="rect">
                      <a:avLst/>
                    </a:prstGeom>
                    <a:noFill/>
                    <a:ln>
                      <a:noFill/>
                    </a:ln>
                  </pic:spPr>
                </pic:pic>
              </a:graphicData>
            </a:graphic>
          </wp:inline>
        </w:drawing>
      </w:r>
    </w:p>
    <w:p>
      <w:pPr>
        <w:pStyle w:val="13"/>
        <w:spacing w:before="156" w:after="156"/>
        <w:ind w:firstLine="1200" w:firstLineChars="600"/>
        <w:jc w:val="both"/>
      </w:pPr>
      <w:r>
        <w:rPr>
          <w:rFonts w:hint="eastAsia"/>
        </w:rPr>
        <w:t>a.上外壳设计                               a.上外壳外观</w:t>
      </w:r>
    </w:p>
    <w:p>
      <w:pPr>
        <w:pStyle w:val="13"/>
        <w:spacing w:before="156" w:after="156"/>
        <w:rPr>
          <w:rFonts w:eastAsia="宋体"/>
        </w:rPr>
      </w:pPr>
      <w:r>
        <w:t xml:space="preserve">图 </w:t>
      </w:r>
      <w:r>
        <w:fldChar w:fldCharType="begin"/>
      </w:r>
      <w:r>
        <w:instrText xml:space="preserve"> SEQ 图 \* ARABIC </w:instrText>
      </w:r>
      <w:r>
        <w:fldChar w:fldCharType="separate"/>
      </w:r>
      <w:r>
        <w:t>7</w:t>
      </w:r>
      <w:r>
        <w:fldChar w:fldCharType="end"/>
      </w:r>
      <w:r>
        <w:rPr>
          <w:rFonts w:hint="eastAsia"/>
        </w:rPr>
        <w:t xml:space="preserve"> 上外壳设计</w:t>
      </w:r>
    </w:p>
    <w:bookmarkEnd w:id="15"/>
    <w:bookmarkEnd w:id="16"/>
    <w:p>
      <w:pPr>
        <w:pStyle w:val="4"/>
        <w:spacing w:before="156" w:after="156"/>
      </w:pPr>
      <w:bookmarkStart w:id="26" w:name="_Toc15054"/>
      <w:bookmarkStart w:id="27" w:name="_Toc22430"/>
      <w:r>
        <w:rPr>
          <w:rFonts w:hint="eastAsia"/>
        </w:rPr>
        <w:t>电磁兼容设计说明</w:t>
      </w:r>
      <w:bookmarkEnd w:id="26"/>
      <w:bookmarkEnd w:id="27"/>
    </w:p>
    <w:p>
      <w:pPr>
        <w:spacing w:before="156" w:after="156"/>
      </w:pPr>
      <w:r>
        <w:t>此次体位反馈模块设计中，采用</w:t>
      </w:r>
      <w:r>
        <w:rPr>
          <w:rFonts w:hint="eastAsia"/>
        </w:rPr>
        <w:t>7号电池</w:t>
      </w:r>
      <w:r>
        <w:t>供电，所采用元器件大部分为成品材料，其自身具备一定的电磁屏蔽及抗辐射能力。因此，在电磁兼容方面不需要特别考虑集成电路板对外产生的电磁辐射或由外部对该电路板所产生的电磁辐射。</w:t>
      </w:r>
    </w:p>
    <w:p>
      <w:pPr>
        <w:spacing w:before="156" w:after="156"/>
      </w:pPr>
      <w:r>
        <w:t>体位反馈模块内部所产生的电磁辐射较弱，不足以影响到体位反馈模块内部电子元器件的实际运行。所以，电磁兼容设计中，主要以体位反馈模块整体为单位，针对外部环境作相关电磁兼容设计。同时，因为该体位反馈模块为内部供电，如外部电磁辐射较大的情况下，可在塑料外壳内部喷涂金属漆，从而通过吸收、反射、抵消三种效应，削弱干扰电磁波。</w:t>
      </w:r>
    </w:p>
    <w:p>
      <w:pPr>
        <w:pStyle w:val="4"/>
        <w:spacing w:before="156" w:after="156"/>
      </w:pPr>
      <w:bookmarkStart w:id="28" w:name="_Toc29583"/>
      <w:bookmarkStart w:id="29" w:name="_Toc23432"/>
      <w:r>
        <w:rPr>
          <w:rFonts w:hint="eastAsia"/>
        </w:rPr>
        <w:t>接地及防静电设计说明</w:t>
      </w:r>
      <w:bookmarkEnd w:id="28"/>
      <w:bookmarkEnd w:id="29"/>
    </w:p>
    <w:p>
      <w:pPr>
        <w:spacing w:before="156" w:after="156"/>
      </w:pPr>
      <w:r>
        <w:t>静电电击只发生在瞬间，通过人体的电流为瞬时冲击电流，其危害主要表现直接伤害、二次伤害、精神紧张三方面。人体遭受电击时，会精神紧张，发生误操作、高空坠落、摔伤或触碰机械造成伤害等后果。</w:t>
      </w:r>
    </w:p>
    <w:p>
      <w:pPr>
        <w:spacing w:before="156" w:after="156"/>
      </w:pPr>
      <w:r>
        <w:t>目前预防静电方面的原理主要有屏蔽、中和两种。针对体位反馈模块可以使用以下措施：</w:t>
      </w:r>
    </w:p>
    <w:p>
      <w:pPr>
        <w:numPr>
          <w:ilvl w:val="0"/>
          <w:numId w:val="4"/>
        </w:numPr>
        <w:spacing w:before="156" w:after="156"/>
        <w:ind w:firstLineChars="0"/>
      </w:pPr>
      <w:r>
        <w:rPr>
          <w:rFonts w:hint="eastAsia"/>
        </w:rPr>
        <w:t>设计中保留较大的电气间隙，以保留较大的爬电距离，避免产生静电击穿现象；</w:t>
      </w:r>
    </w:p>
    <w:p>
      <w:pPr>
        <w:numPr>
          <w:ilvl w:val="0"/>
          <w:numId w:val="4"/>
        </w:numPr>
        <w:spacing w:before="156" w:after="156"/>
        <w:ind w:firstLineChars="0"/>
      </w:pPr>
      <w:r>
        <w:rPr>
          <w:rFonts w:hint="eastAsia"/>
        </w:rPr>
        <w:t>接地，将体位反馈模块内可能受到静电影响的结构、元器件共同接地至外部，避免静电累计；</w:t>
      </w:r>
    </w:p>
    <w:p>
      <w:pPr>
        <w:pStyle w:val="4"/>
        <w:spacing w:before="156" w:after="156"/>
      </w:pPr>
      <w:bookmarkStart w:id="30" w:name="_Toc25217"/>
      <w:bookmarkStart w:id="31" w:name="_Toc15663"/>
      <w:r>
        <w:rPr>
          <w:rFonts w:hint="eastAsia"/>
        </w:rPr>
        <w:t>通风散热设计说明</w:t>
      </w:r>
      <w:bookmarkEnd w:id="30"/>
      <w:bookmarkEnd w:id="31"/>
    </w:p>
    <w:p>
      <w:pPr>
        <w:adjustRightInd/>
        <w:snapToGrid/>
        <w:spacing w:before="156" w:after="156"/>
        <w:jc w:val="left"/>
        <w:outlineLvl w:val="1"/>
      </w:pPr>
      <w:r>
        <w:rPr>
          <w:rFonts w:hint="eastAsia"/>
        </w:rPr>
        <w:t>体位反馈模块中采用7号电池供电，激光发射器和激光控制板是该模块热量主要来源，无较大发热单元。同时，考虑到体位反馈模块内部结构在空间、功率、使用时长方面的情况，可通过体位反馈模块中的上外壳、下外壳进行散热，可以达到散热的目的，不必添加其他散热设备、措施。</w:t>
      </w:r>
    </w:p>
    <w:p>
      <w:pPr>
        <w:pStyle w:val="4"/>
        <w:spacing w:before="156" w:after="156"/>
      </w:pPr>
      <w:bookmarkStart w:id="32" w:name="_Toc523"/>
      <w:bookmarkStart w:id="33" w:name="_Toc9386"/>
      <w:r>
        <w:rPr>
          <w:rFonts w:hint="eastAsia"/>
        </w:rPr>
        <w:t>检修维护设计说明</w:t>
      </w:r>
      <w:bookmarkEnd w:id="32"/>
      <w:bookmarkEnd w:id="33"/>
    </w:p>
    <w:p>
      <w:pPr>
        <w:pStyle w:val="43"/>
        <w:spacing w:before="156" w:after="156"/>
      </w:pPr>
      <w:r>
        <w:drawing>
          <wp:inline distT="0" distB="0" distL="114300" distR="114300">
            <wp:extent cx="2132330" cy="2258060"/>
            <wp:effectExtent l="0" t="0" r="1270" b="889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3"/>
                    <a:stretch>
                      <a:fillRect/>
                    </a:stretch>
                  </pic:blipFill>
                  <pic:spPr>
                    <a:xfrm>
                      <a:off x="0" y="0"/>
                      <a:ext cx="2132330" cy="2258060"/>
                    </a:xfrm>
                    <a:prstGeom prst="rect">
                      <a:avLst/>
                    </a:prstGeom>
                    <a:noFill/>
                    <a:ln>
                      <a:noFill/>
                    </a:ln>
                  </pic:spPr>
                </pic:pic>
              </a:graphicData>
            </a:graphic>
          </wp:inline>
        </w:drawing>
      </w:r>
    </w:p>
    <w:p>
      <w:pPr>
        <w:pStyle w:val="13"/>
        <w:spacing w:before="156" w:after="156"/>
        <w:rPr>
          <w:rFonts w:eastAsia="宋体"/>
        </w:rPr>
      </w:pPr>
      <w:r>
        <w:t xml:space="preserve">图 </w:t>
      </w:r>
      <w:r>
        <w:fldChar w:fldCharType="begin"/>
      </w:r>
      <w:r>
        <w:instrText xml:space="preserve"> SEQ 图 \* ARABIC </w:instrText>
      </w:r>
      <w:r>
        <w:fldChar w:fldCharType="separate"/>
      </w:r>
      <w:r>
        <w:t>8</w:t>
      </w:r>
      <w:r>
        <w:fldChar w:fldCharType="end"/>
      </w:r>
      <w:r>
        <w:rPr>
          <w:rFonts w:hint="eastAsia"/>
        </w:rPr>
        <w:t xml:space="preserve"> 检修拆卸维护图</w:t>
      </w:r>
    </w:p>
    <w:p>
      <w:pPr>
        <w:spacing w:before="156" w:after="156"/>
      </w:pPr>
      <w:r>
        <w:rPr>
          <w:rFonts w:hint="eastAsia"/>
        </w:rPr>
        <w:t>按上图示方法，活动下外壳卡扣，使上外壳与下外壳分离。拆开后可完成对内部转轮、按键、转动轴、激光控制板、电池的更换、维修。</w:t>
      </w:r>
    </w:p>
    <w:p>
      <w:pPr>
        <w:pStyle w:val="2"/>
        <w:spacing w:before="312" w:after="312"/>
      </w:pPr>
      <w:bookmarkStart w:id="34" w:name="_Toc61"/>
      <w:bookmarkStart w:id="35" w:name="_Toc279"/>
      <w:r>
        <w:rPr>
          <w:rFonts w:hint="eastAsia"/>
        </w:rPr>
        <w:t>总结</w:t>
      </w:r>
      <w:bookmarkEnd w:id="34"/>
      <w:bookmarkEnd w:id="35"/>
    </w:p>
    <w:p>
      <w:pPr>
        <w:spacing w:before="156" w:after="156"/>
      </w:pPr>
      <w:r>
        <w:rPr>
          <w:rFonts w:hint="eastAsia"/>
        </w:rPr>
        <w:t>前期经过结构概要设计说明，对其中所用到的外购件进行了适配性选型，再以此选型结果为基础，完成初步基础资料的验证、确认。</w:t>
      </w:r>
    </w:p>
    <w:p>
      <w:pPr>
        <w:spacing w:before="156" w:after="156"/>
      </w:pPr>
      <w:r>
        <w:rPr>
          <w:rFonts w:hint="eastAsia"/>
        </w:rPr>
        <w:t>详细设计则充分考虑和分析设计需求输入、风险项分析、设计可制造性等方面分析，通过材料、标准件选型、结构设计和加工精度等多方面设计，使产品整体满足设计要求的功能和性能，降低各风险项的危害性和概率，把风险降低到可接受的范围，达到产品预期的功能、性能及预期用途等。</w:t>
      </w:r>
    </w:p>
    <w:p>
      <w:pPr>
        <w:spacing w:before="156" w:after="156"/>
      </w:pPr>
    </w:p>
    <w:sectPr>
      <w:footerReference r:id="rId1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MS Shell Dlg">
    <w:altName w:val="Microsoft Sans Serif"/>
    <w:panose1 w:val="020B0604020202020204"/>
    <w:charset w:val="00"/>
    <w:family w:val="swiss"/>
    <w:pitch w:val="default"/>
    <w:sig w:usb0="00000000" w:usb1="00000000" w:usb2="00000029" w:usb3="00000000" w:csb0="000101FF" w:csb1="00000000"/>
  </w:font>
  <w:font w:name="Microsoft Sans Serif">
    <w:panose1 w:val="020B0604020202020204"/>
    <w:charset w:val="00"/>
    <w:family w:val="auto"/>
    <w:pitch w:val="default"/>
    <w:sig w:usb0="E5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ind w:firstLine="36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PF6wxAgAAY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MHmWha3e&#10;WR6hozzero4BciaVoyidEuhOPGD2Up/6PYnD/ec5RT3+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xzxesMQIAAGMEAAAOAAAAAAAAAAEAIAAAAB8BAABkcnMvZTJvRG9jLnhtbFBLBQYA&#10;AAAABgAGAFkBAADCBQAAAAA=&#10;">
              <v:fill on="f" focussize="0,0"/>
              <v:stroke on="f" weight="0.5pt"/>
              <v:imagedata o:title=""/>
              <o:lock v:ext="edit" aspectratio="f"/>
              <v:textbox inset="0mm,0mm,0mm,0mm" style="mso-fit-shape-to-text:t;">
                <w:txbxContent>
                  <w:p>
                    <w:pPr>
                      <w:pStyle w:val="22"/>
                      <w:spacing w:before="120" w:after="120"/>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ind w:firstLine="36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ind w:firstLine="36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ind w:firstLine="360"/>
      <w:jc w:val="both"/>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ind w:firstLine="36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yM8yAgAAZ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cXIzzICAABlBAAADgAAAAAAAAABACAAAAAfAQAAZHJzL2Uyb0RvYy54bWxQSwUG&#10;AAAAAAYABgBZAQAAwwUAAAAA&#10;">
              <v:fill on="f" focussize="0,0"/>
              <v:stroke on="f" weight="0.5pt"/>
              <v:imagedata o:title=""/>
              <o:lock v:ext="edit" aspectratio="f"/>
              <v:textbox inset="0mm,0mm,0mm,0mm" style="mso-fit-shape-to-text:t;">
                <w:txbxContent>
                  <w:p>
                    <w:pPr>
                      <w:pStyle w:val="22"/>
                      <w:spacing w:before="120" w:after="120"/>
                      <w:ind w:firstLine="360"/>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420"/>
      </w:pPr>
      <w:r>
        <w:separator/>
      </w:r>
    </w:p>
  </w:footnote>
  <w:footnote w:type="continuationSeparator" w:id="1">
    <w:p>
      <w:pPr>
        <w:spacing w:before="0" w:after="0"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ind w:firstLine="360"/>
      <w:jc w:val="both"/>
    </w:pPr>
    <w:r>
      <w:pict>
        <v:shape id="PowerPlusWaterMarkObject31080220" o:spid="_x0000_s2055"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ind w:firstLine="360"/>
    </w:pPr>
    <w:r>
      <w:pict>
        <v:shape id="PowerPlusWaterMarkObject31080219" o:spid="_x0000_s2054"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ind w:firstLine="360"/>
    </w:pPr>
    <w:r>
      <w:pict>
        <v:shape id="PowerPlusWaterMarkObject31080218" o:spid="_x0000_s2049"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20" w:after="120"/>
      <w:ind w:firstLine="0" w:firstLineChars="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ind w:firstLine="360"/>
    </w:pPr>
    <w:r>
      <w:pict>
        <v:shape id="PowerPlusWaterMarkObject31080222" o:spid="_x0000_s2057" o:spt="136" type="#_x0000_t136" style="position:absolute;left:0pt;height:195.15pt;width:390.35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ind w:firstLine="360"/>
    </w:pPr>
    <w:r>
      <w:pict>
        <v:shape id="PowerPlusWaterMarkObject31080221" o:spid="_x0000_s2056"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ind w:firstLine="360"/>
    </w:pPr>
    <w:r>
      <w:pict>
        <v:shape id="PowerPlusWaterMarkObject31080225" o:spid="_x0000_s2060" o:spt="136" type="#_x0000_t136" style="position:absolute;left:0pt;height:195.15pt;width:390.35pt;mso-position-horizontal:center;mso-position-horizontal-relative:margin;mso-position-vertical:center;mso-position-vertical-relative:margin;rotation:20643840f;z-index:-25164492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ind w:firstLine="360"/>
    </w:pPr>
    <w:r>
      <w:pict>
        <v:shape id="PowerPlusWaterMarkObject31080224" o:spid="_x0000_s2059" o:spt="136" type="#_x0000_t136" style="position:absolute;left:0pt;height:195.15pt;width:390.35pt;mso-position-horizontal:center;mso-position-horizontal-relative:margin;mso-position-vertical:center;mso-position-vertical-relative:margin;rotation:20643840f;z-index:-25164595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F4A4F161"/>
    <w:multiLevelType w:val="singleLevel"/>
    <w:tmpl w:val="F4A4F161"/>
    <w:lvl w:ilvl="0" w:tentative="0">
      <w:start w:val="1"/>
      <w:numFmt w:val="decimal"/>
      <w:lvlText w:val="%1)"/>
      <w:lvlJc w:val="left"/>
      <w:pPr>
        <w:tabs>
          <w:tab w:val="left" w:pos="420"/>
        </w:tabs>
        <w:ind w:left="845" w:hanging="425"/>
      </w:pPr>
      <w:rPr>
        <w:rFonts w:hint="default"/>
      </w:rPr>
    </w:lvl>
  </w:abstractNum>
  <w:abstractNum w:abstractNumId="2">
    <w:nsid w:val="FDC96548"/>
    <w:multiLevelType w:val="singleLevel"/>
    <w:tmpl w:val="FDC96548"/>
    <w:lvl w:ilvl="0" w:tentative="0">
      <w:start w:val="1"/>
      <w:numFmt w:val="decimal"/>
      <w:suff w:val="nothing"/>
      <w:lvlText w:val="%1）"/>
      <w:lvlJc w:val="left"/>
      <w:pPr>
        <w:ind w:firstLine="420"/>
      </w:pPr>
    </w:lvl>
  </w:abstractNum>
  <w:abstractNum w:abstractNumId="3">
    <w:nsid w:val="221CE146"/>
    <w:multiLevelType w:val="singleLevel"/>
    <w:tmpl w:val="221CE146"/>
    <w:lvl w:ilvl="0" w:tentative="0">
      <w:start w:val="1"/>
      <w:numFmt w:val="decimal"/>
      <w:lvlText w:val="%1)"/>
      <w:lvlJc w:val="left"/>
      <w:pPr>
        <w:tabs>
          <w:tab w:val="left" w:pos="420"/>
        </w:tabs>
        <w:ind w:left="845" w:hanging="425"/>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MwOTEyNTliNzAyNjUwYWZkY2YxYjJjZjZiNDJiOTAifQ=="/>
  </w:docVars>
  <w:rsids>
    <w:rsidRoot w:val="00172A27"/>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E71BF"/>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2A27"/>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25CC"/>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1707"/>
    <w:rsid w:val="003920F2"/>
    <w:rsid w:val="003A329B"/>
    <w:rsid w:val="003A7328"/>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2179"/>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3DD3"/>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77F91"/>
    <w:rsid w:val="00985573"/>
    <w:rsid w:val="00987FC7"/>
    <w:rsid w:val="009A18B0"/>
    <w:rsid w:val="009A53BC"/>
    <w:rsid w:val="009B127F"/>
    <w:rsid w:val="009B12C1"/>
    <w:rsid w:val="009C22DC"/>
    <w:rsid w:val="009C2874"/>
    <w:rsid w:val="009C40DE"/>
    <w:rsid w:val="009D0F26"/>
    <w:rsid w:val="009D0F99"/>
    <w:rsid w:val="009D127E"/>
    <w:rsid w:val="009D326F"/>
    <w:rsid w:val="009D58B1"/>
    <w:rsid w:val="009D6E6E"/>
    <w:rsid w:val="009E5F55"/>
    <w:rsid w:val="009F0D86"/>
    <w:rsid w:val="009F44AC"/>
    <w:rsid w:val="009F7056"/>
    <w:rsid w:val="00A0108E"/>
    <w:rsid w:val="00A01C1F"/>
    <w:rsid w:val="00A02660"/>
    <w:rsid w:val="00A214A8"/>
    <w:rsid w:val="00A214D1"/>
    <w:rsid w:val="00A2415B"/>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14F05"/>
    <w:rsid w:val="00C2379F"/>
    <w:rsid w:val="00C331F7"/>
    <w:rsid w:val="00C37813"/>
    <w:rsid w:val="00C42DCF"/>
    <w:rsid w:val="00C476F1"/>
    <w:rsid w:val="00C5155B"/>
    <w:rsid w:val="00C52233"/>
    <w:rsid w:val="00C55B66"/>
    <w:rsid w:val="00C71C15"/>
    <w:rsid w:val="00C72729"/>
    <w:rsid w:val="00C77D8F"/>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268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307A"/>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2F47D6"/>
    <w:rsid w:val="01316717"/>
    <w:rsid w:val="01B26304"/>
    <w:rsid w:val="01C009BE"/>
    <w:rsid w:val="0231737D"/>
    <w:rsid w:val="02564618"/>
    <w:rsid w:val="02592407"/>
    <w:rsid w:val="027F230D"/>
    <w:rsid w:val="031C4A6E"/>
    <w:rsid w:val="033E3A9E"/>
    <w:rsid w:val="037A22E8"/>
    <w:rsid w:val="03A82039"/>
    <w:rsid w:val="03C92F05"/>
    <w:rsid w:val="03DC63F8"/>
    <w:rsid w:val="040474F9"/>
    <w:rsid w:val="044C64BE"/>
    <w:rsid w:val="048536A0"/>
    <w:rsid w:val="04AA48D1"/>
    <w:rsid w:val="04E37F65"/>
    <w:rsid w:val="05137545"/>
    <w:rsid w:val="054149D0"/>
    <w:rsid w:val="05C2643B"/>
    <w:rsid w:val="06571E5B"/>
    <w:rsid w:val="066E5D43"/>
    <w:rsid w:val="06856B77"/>
    <w:rsid w:val="06AD7EDF"/>
    <w:rsid w:val="06F04B2A"/>
    <w:rsid w:val="06F82764"/>
    <w:rsid w:val="072322AB"/>
    <w:rsid w:val="07D05D65"/>
    <w:rsid w:val="07E52313"/>
    <w:rsid w:val="084716F3"/>
    <w:rsid w:val="08BA7325"/>
    <w:rsid w:val="0922224F"/>
    <w:rsid w:val="092F7A49"/>
    <w:rsid w:val="0986639F"/>
    <w:rsid w:val="09B5259E"/>
    <w:rsid w:val="09CF07E8"/>
    <w:rsid w:val="09EF3200"/>
    <w:rsid w:val="0A167247"/>
    <w:rsid w:val="0A4275FD"/>
    <w:rsid w:val="0A4948CD"/>
    <w:rsid w:val="0ACB2E7D"/>
    <w:rsid w:val="0ADC5ED7"/>
    <w:rsid w:val="0B4631C2"/>
    <w:rsid w:val="0B764ED4"/>
    <w:rsid w:val="0BAD137B"/>
    <w:rsid w:val="0BC404F6"/>
    <w:rsid w:val="0C024CA2"/>
    <w:rsid w:val="0C1F5BC4"/>
    <w:rsid w:val="0C37230B"/>
    <w:rsid w:val="0C515C1A"/>
    <w:rsid w:val="0C9505C2"/>
    <w:rsid w:val="0CB95044"/>
    <w:rsid w:val="0CCF7C26"/>
    <w:rsid w:val="0D140903"/>
    <w:rsid w:val="0D960B36"/>
    <w:rsid w:val="0DE901A8"/>
    <w:rsid w:val="0E0222B5"/>
    <w:rsid w:val="0E6D27CC"/>
    <w:rsid w:val="0E9047C1"/>
    <w:rsid w:val="0ED40042"/>
    <w:rsid w:val="0EE04A91"/>
    <w:rsid w:val="0EE06226"/>
    <w:rsid w:val="0F232388"/>
    <w:rsid w:val="0F4E3481"/>
    <w:rsid w:val="0FDB4A5D"/>
    <w:rsid w:val="102414E5"/>
    <w:rsid w:val="10AB3258"/>
    <w:rsid w:val="1128062D"/>
    <w:rsid w:val="11434D31"/>
    <w:rsid w:val="120460E3"/>
    <w:rsid w:val="12443457"/>
    <w:rsid w:val="12790B5D"/>
    <w:rsid w:val="12964E82"/>
    <w:rsid w:val="129E5931"/>
    <w:rsid w:val="12AB1D6E"/>
    <w:rsid w:val="12BF38DC"/>
    <w:rsid w:val="1306387B"/>
    <w:rsid w:val="13222941"/>
    <w:rsid w:val="132B119C"/>
    <w:rsid w:val="13424E9A"/>
    <w:rsid w:val="135E7FA9"/>
    <w:rsid w:val="13880074"/>
    <w:rsid w:val="13D72A14"/>
    <w:rsid w:val="13ED07E9"/>
    <w:rsid w:val="14545C26"/>
    <w:rsid w:val="14AE4207"/>
    <w:rsid w:val="14B30B2D"/>
    <w:rsid w:val="14E6070D"/>
    <w:rsid w:val="150447AF"/>
    <w:rsid w:val="1535433B"/>
    <w:rsid w:val="15461660"/>
    <w:rsid w:val="154D2218"/>
    <w:rsid w:val="1565333C"/>
    <w:rsid w:val="16444FD4"/>
    <w:rsid w:val="168972CB"/>
    <w:rsid w:val="169B7F59"/>
    <w:rsid w:val="169F54AF"/>
    <w:rsid w:val="16A05D87"/>
    <w:rsid w:val="17B069E0"/>
    <w:rsid w:val="17E80A46"/>
    <w:rsid w:val="17F6083B"/>
    <w:rsid w:val="18CC5EE8"/>
    <w:rsid w:val="19031F42"/>
    <w:rsid w:val="195157E5"/>
    <w:rsid w:val="19581AB6"/>
    <w:rsid w:val="19AC5492"/>
    <w:rsid w:val="19CE2367"/>
    <w:rsid w:val="1A360B5A"/>
    <w:rsid w:val="1A3C0303"/>
    <w:rsid w:val="1A6E3F5E"/>
    <w:rsid w:val="1AEE19BC"/>
    <w:rsid w:val="1B1B1404"/>
    <w:rsid w:val="1B7B152D"/>
    <w:rsid w:val="1BE27C93"/>
    <w:rsid w:val="1BEF1CCD"/>
    <w:rsid w:val="1D004B51"/>
    <w:rsid w:val="1D1F2F14"/>
    <w:rsid w:val="1D1F6461"/>
    <w:rsid w:val="1D476E5C"/>
    <w:rsid w:val="1D733E67"/>
    <w:rsid w:val="1D78050D"/>
    <w:rsid w:val="1DA41A14"/>
    <w:rsid w:val="1DF0754A"/>
    <w:rsid w:val="1E421DE9"/>
    <w:rsid w:val="1E5519E9"/>
    <w:rsid w:val="1E9D07FC"/>
    <w:rsid w:val="1EEC4A4C"/>
    <w:rsid w:val="1EFA772E"/>
    <w:rsid w:val="1F56336C"/>
    <w:rsid w:val="1F5E4E59"/>
    <w:rsid w:val="1F630D1E"/>
    <w:rsid w:val="1FBD18C3"/>
    <w:rsid w:val="1FFD7F5C"/>
    <w:rsid w:val="20C12D13"/>
    <w:rsid w:val="20C55C7D"/>
    <w:rsid w:val="211C3548"/>
    <w:rsid w:val="214811A3"/>
    <w:rsid w:val="21741092"/>
    <w:rsid w:val="219126D6"/>
    <w:rsid w:val="21FC3512"/>
    <w:rsid w:val="220A7A3E"/>
    <w:rsid w:val="22A429FD"/>
    <w:rsid w:val="231A0EAC"/>
    <w:rsid w:val="23754199"/>
    <w:rsid w:val="23B51C9C"/>
    <w:rsid w:val="23ED0468"/>
    <w:rsid w:val="240C120A"/>
    <w:rsid w:val="24307A67"/>
    <w:rsid w:val="24481351"/>
    <w:rsid w:val="24737942"/>
    <w:rsid w:val="247D608D"/>
    <w:rsid w:val="24C82D1B"/>
    <w:rsid w:val="251877C8"/>
    <w:rsid w:val="25305FF0"/>
    <w:rsid w:val="25344356"/>
    <w:rsid w:val="25964521"/>
    <w:rsid w:val="26291E2B"/>
    <w:rsid w:val="262B2333"/>
    <w:rsid w:val="26327EA6"/>
    <w:rsid w:val="26791CA0"/>
    <w:rsid w:val="26927018"/>
    <w:rsid w:val="26A06F56"/>
    <w:rsid w:val="2729409B"/>
    <w:rsid w:val="27863352"/>
    <w:rsid w:val="27C528AF"/>
    <w:rsid w:val="28212A29"/>
    <w:rsid w:val="283303E8"/>
    <w:rsid w:val="28352882"/>
    <w:rsid w:val="28533934"/>
    <w:rsid w:val="28C678BB"/>
    <w:rsid w:val="28F367AA"/>
    <w:rsid w:val="291A6E95"/>
    <w:rsid w:val="293F42C7"/>
    <w:rsid w:val="294662F0"/>
    <w:rsid w:val="294A555F"/>
    <w:rsid w:val="295A17E1"/>
    <w:rsid w:val="296C1161"/>
    <w:rsid w:val="29AE61BB"/>
    <w:rsid w:val="29F95B0D"/>
    <w:rsid w:val="2A1D7880"/>
    <w:rsid w:val="2A546B30"/>
    <w:rsid w:val="2A6B1F11"/>
    <w:rsid w:val="2A8B7C0E"/>
    <w:rsid w:val="2A943F04"/>
    <w:rsid w:val="2C136835"/>
    <w:rsid w:val="2C6E11EE"/>
    <w:rsid w:val="2C7222E1"/>
    <w:rsid w:val="2CAA46A5"/>
    <w:rsid w:val="2D3B0FB4"/>
    <w:rsid w:val="2D4964C8"/>
    <w:rsid w:val="2D673C3B"/>
    <w:rsid w:val="2D8C6D1F"/>
    <w:rsid w:val="2DC10DD2"/>
    <w:rsid w:val="2E2A42FC"/>
    <w:rsid w:val="2EFE4A30"/>
    <w:rsid w:val="2F04309B"/>
    <w:rsid w:val="2F352CDE"/>
    <w:rsid w:val="2F78045A"/>
    <w:rsid w:val="2F81732D"/>
    <w:rsid w:val="2F90712B"/>
    <w:rsid w:val="2FD15513"/>
    <w:rsid w:val="30015608"/>
    <w:rsid w:val="30026E52"/>
    <w:rsid w:val="3003491D"/>
    <w:rsid w:val="31264EA9"/>
    <w:rsid w:val="313D51C1"/>
    <w:rsid w:val="313F3C62"/>
    <w:rsid w:val="3142300E"/>
    <w:rsid w:val="318B10EE"/>
    <w:rsid w:val="319B60EC"/>
    <w:rsid w:val="32B27C98"/>
    <w:rsid w:val="32B77072"/>
    <w:rsid w:val="32FE075A"/>
    <w:rsid w:val="331164C2"/>
    <w:rsid w:val="3371539F"/>
    <w:rsid w:val="339964D5"/>
    <w:rsid w:val="33A30303"/>
    <w:rsid w:val="33D418BC"/>
    <w:rsid w:val="33F071AB"/>
    <w:rsid w:val="33F5046D"/>
    <w:rsid w:val="34272EE1"/>
    <w:rsid w:val="345456D0"/>
    <w:rsid w:val="3484540C"/>
    <w:rsid w:val="34DF63C3"/>
    <w:rsid w:val="3534275A"/>
    <w:rsid w:val="354D0CEF"/>
    <w:rsid w:val="3567114B"/>
    <w:rsid w:val="356C7E12"/>
    <w:rsid w:val="35BA63BC"/>
    <w:rsid w:val="35D604FB"/>
    <w:rsid w:val="36342E69"/>
    <w:rsid w:val="36356322"/>
    <w:rsid w:val="368E5798"/>
    <w:rsid w:val="36DE1F0D"/>
    <w:rsid w:val="372E175A"/>
    <w:rsid w:val="37376EB7"/>
    <w:rsid w:val="373A0BD4"/>
    <w:rsid w:val="37CF1C2B"/>
    <w:rsid w:val="37FB0C8D"/>
    <w:rsid w:val="3806499C"/>
    <w:rsid w:val="383B1395"/>
    <w:rsid w:val="3861547C"/>
    <w:rsid w:val="387F4B11"/>
    <w:rsid w:val="38951214"/>
    <w:rsid w:val="38A40419"/>
    <w:rsid w:val="38C46B02"/>
    <w:rsid w:val="38F97712"/>
    <w:rsid w:val="396B14CB"/>
    <w:rsid w:val="39B707B5"/>
    <w:rsid w:val="3A2425BC"/>
    <w:rsid w:val="3A2D2BD8"/>
    <w:rsid w:val="3A337571"/>
    <w:rsid w:val="3A3C7FC8"/>
    <w:rsid w:val="3A836481"/>
    <w:rsid w:val="3A9958AE"/>
    <w:rsid w:val="3AAC29B8"/>
    <w:rsid w:val="3AEE35E9"/>
    <w:rsid w:val="3AF05F37"/>
    <w:rsid w:val="3B0063FE"/>
    <w:rsid w:val="3B070ABC"/>
    <w:rsid w:val="3B1C5986"/>
    <w:rsid w:val="3B29360C"/>
    <w:rsid w:val="3B8C5417"/>
    <w:rsid w:val="3BCA148D"/>
    <w:rsid w:val="3BF3172E"/>
    <w:rsid w:val="3C016863"/>
    <w:rsid w:val="3C1A2322"/>
    <w:rsid w:val="3C6E1D43"/>
    <w:rsid w:val="3C9710C2"/>
    <w:rsid w:val="3C9C4802"/>
    <w:rsid w:val="3D2817A2"/>
    <w:rsid w:val="3DB91276"/>
    <w:rsid w:val="3E135AB1"/>
    <w:rsid w:val="3E2208E7"/>
    <w:rsid w:val="3E503EB8"/>
    <w:rsid w:val="3F206007"/>
    <w:rsid w:val="3FDB6744"/>
    <w:rsid w:val="3FDC60DE"/>
    <w:rsid w:val="401260B0"/>
    <w:rsid w:val="40B93D90"/>
    <w:rsid w:val="410128A5"/>
    <w:rsid w:val="410D6316"/>
    <w:rsid w:val="415D2E4B"/>
    <w:rsid w:val="41BE6C1D"/>
    <w:rsid w:val="41CD5CFC"/>
    <w:rsid w:val="41E02FC5"/>
    <w:rsid w:val="42087C07"/>
    <w:rsid w:val="424F39AC"/>
    <w:rsid w:val="4271306B"/>
    <w:rsid w:val="42E9004E"/>
    <w:rsid w:val="430877F2"/>
    <w:rsid w:val="4364019D"/>
    <w:rsid w:val="43BB4DAC"/>
    <w:rsid w:val="446020A2"/>
    <w:rsid w:val="45170D3A"/>
    <w:rsid w:val="4535682F"/>
    <w:rsid w:val="45532BFA"/>
    <w:rsid w:val="45BE42FE"/>
    <w:rsid w:val="45BF5671"/>
    <w:rsid w:val="45F40700"/>
    <w:rsid w:val="46034E29"/>
    <w:rsid w:val="467720EE"/>
    <w:rsid w:val="46C2594A"/>
    <w:rsid w:val="470A6BBA"/>
    <w:rsid w:val="47455474"/>
    <w:rsid w:val="476F5D42"/>
    <w:rsid w:val="47B8448B"/>
    <w:rsid w:val="48027D85"/>
    <w:rsid w:val="482D46BC"/>
    <w:rsid w:val="48357F83"/>
    <w:rsid w:val="487D7331"/>
    <w:rsid w:val="487F3E24"/>
    <w:rsid w:val="48D60E45"/>
    <w:rsid w:val="48EC6BD9"/>
    <w:rsid w:val="49603BB0"/>
    <w:rsid w:val="49701E95"/>
    <w:rsid w:val="49BA4B14"/>
    <w:rsid w:val="4A183CC2"/>
    <w:rsid w:val="4A2530BB"/>
    <w:rsid w:val="4A3E25D3"/>
    <w:rsid w:val="4A3F10B1"/>
    <w:rsid w:val="4A7A2BB1"/>
    <w:rsid w:val="4A843236"/>
    <w:rsid w:val="4AB32C6B"/>
    <w:rsid w:val="4AD53E5C"/>
    <w:rsid w:val="4AF532B4"/>
    <w:rsid w:val="4B09575A"/>
    <w:rsid w:val="4B124FAF"/>
    <w:rsid w:val="4B30084C"/>
    <w:rsid w:val="4B6D6660"/>
    <w:rsid w:val="4B757146"/>
    <w:rsid w:val="4B774911"/>
    <w:rsid w:val="4B787571"/>
    <w:rsid w:val="4BAF41B8"/>
    <w:rsid w:val="4BB52E13"/>
    <w:rsid w:val="4C273C32"/>
    <w:rsid w:val="4C4E2E27"/>
    <w:rsid w:val="4C790875"/>
    <w:rsid w:val="4CF278D2"/>
    <w:rsid w:val="4D2C1B35"/>
    <w:rsid w:val="4D511AC0"/>
    <w:rsid w:val="4D68379C"/>
    <w:rsid w:val="4D707D75"/>
    <w:rsid w:val="4D7E48DE"/>
    <w:rsid w:val="4DA20288"/>
    <w:rsid w:val="4DA95D27"/>
    <w:rsid w:val="4DAC7A1E"/>
    <w:rsid w:val="4DB34B15"/>
    <w:rsid w:val="4DED4AFA"/>
    <w:rsid w:val="4DFE3B03"/>
    <w:rsid w:val="4E1900BC"/>
    <w:rsid w:val="4E1A615E"/>
    <w:rsid w:val="4E6B1521"/>
    <w:rsid w:val="4EA41454"/>
    <w:rsid w:val="4F5D5576"/>
    <w:rsid w:val="4FC56759"/>
    <w:rsid w:val="4FF75141"/>
    <w:rsid w:val="501F26E4"/>
    <w:rsid w:val="502B1FB7"/>
    <w:rsid w:val="50F64B8F"/>
    <w:rsid w:val="520C1D4B"/>
    <w:rsid w:val="525E1F70"/>
    <w:rsid w:val="52936D56"/>
    <w:rsid w:val="5294749F"/>
    <w:rsid w:val="52DF4C36"/>
    <w:rsid w:val="52E336EC"/>
    <w:rsid w:val="52E4604B"/>
    <w:rsid w:val="53076F5C"/>
    <w:rsid w:val="538F6EBC"/>
    <w:rsid w:val="54211DFE"/>
    <w:rsid w:val="54236C21"/>
    <w:rsid w:val="54A93ED1"/>
    <w:rsid w:val="552D5FC7"/>
    <w:rsid w:val="55605408"/>
    <w:rsid w:val="55A622E6"/>
    <w:rsid w:val="55B87B63"/>
    <w:rsid w:val="55D377E1"/>
    <w:rsid w:val="56B63FAD"/>
    <w:rsid w:val="56C31CA5"/>
    <w:rsid w:val="570C2D4B"/>
    <w:rsid w:val="574A11B9"/>
    <w:rsid w:val="57512B5F"/>
    <w:rsid w:val="576A71F9"/>
    <w:rsid w:val="57C40D4F"/>
    <w:rsid w:val="57CF70FC"/>
    <w:rsid w:val="58226F4C"/>
    <w:rsid w:val="582D569E"/>
    <w:rsid w:val="58330E8D"/>
    <w:rsid w:val="58840642"/>
    <w:rsid w:val="58AB39FA"/>
    <w:rsid w:val="590B5692"/>
    <w:rsid w:val="591A413B"/>
    <w:rsid w:val="592E048C"/>
    <w:rsid w:val="59892A58"/>
    <w:rsid w:val="598B79D5"/>
    <w:rsid w:val="59E751EB"/>
    <w:rsid w:val="5AAE7D34"/>
    <w:rsid w:val="5B31196E"/>
    <w:rsid w:val="5B343D08"/>
    <w:rsid w:val="5B8A7886"/>
    <w:rsid w:val="5C283F44"/>
    <w:rsid w:val="5C79705B"/>
    <w:rsid w:val="5CBA2470"/>
    <w:rsid w:val="5CF404A0"/>
    <w:rsid w:val="5D1D4755"/>
    <w:rsid w:val="5D370066"/>
    <w:rsid w:val="5D914406"/>
    <w:rsid w:val="5DFC7834"/>
    <w:rsid w:val="5E586C55"/>
    <w:rsid w:val="5E980831"/>
    <w:rsid w:val="5EA359B0"/>
    <w:rsid w:val="5EEC6167"/>
    <w:rsid w:val="5EFF00CB"/>
    <w:rsid w:val="5F426796"/>
    <w:rsid w:val="5F91391A"/>
    <w:rsid w:val="5FAF6DFE"/>
    <w:rsid w:val="6012129B"/>
    <w:rsid w:val="60184928"/>
    <w:rsid w:val="60BA74AA"/>
    <w:rsid w:val="60BE53AE"/>
    <w:rsid w:val="61644552"/>
    <w:rsid w:val="616B641E"/>
    <w:rsid w:val="6182648A"/>
    <w:rsid w:val="618776D4"/>
    <w:rsid w:val="619D245A"/>
    <w:rsid w:val="61B5562E"/>
    <w:rsid w:val="62456E76"/>
    <w:rsid w:val="6297552C"/>
    <w:rsid w:val="62B03786"/>
    <w:rsid w:val="62BD57D1"/>
    <w:rsid w:val="62DC2EB3"/>
    <w:rsid w:val="63822F11"/>
    <w:rsid w:val="63C72B19"/>
    <w:rsid w:val="63F959BC"/>
    <w:rsid w:val="64E73EAB"/>
    <w:rsid w:val="64EF54C4"/>
    <w:rsid w:val="65EB28D0"/>
    <w:rsid w:val="66336C28"/>
    <w:rsid w:val="6636079B"/>
    <w:rsid w:val="665E1FC8"/>
    <w:rsid w:val="668C05C4"/>
    <w:rsid w:val="66F465D7"/>
    <w:rsid w:val="679A1C35"/>
    <w:rsid w:val="6817640F"/>
    <w:rsid w:val="684E57EB"/>
    <w:rsid w:val="68571E21"/>
    <w:rsid w:val="692D0B56"/>
    <w:rsid w:val="692E2278"/>
    <w:rsid w:val="696A48E5"/>
    <w:rsid w:val="69E82E58"/>
    <w:rsid w:val="6A092AFA"/>
    <w:rsid w:val="6A1049F5"/>
    <w:rsid w:val="6A88178F"/>
    <w:rsid w:val="6A8D673A"/>
    <w:rsid w:val="6BB27539"/>
    <w:rsid w:val="6C4B2BE3"/>
    <w:rsid w:val="6CD33BF8"/>
    <w:rsid w:val="6CFA0F66"/>
    <w:rsid w:val="6DD40770"/>
    <w:rsid w:val="6DDF296F"/>
    <w:rsid w:val="6DE03251"/>
    <w:rsid w:val="6DF84A0F"/>
    <w:rsid w:val="6E0C2C86"/>
    <w:rsid w:val="6EA85946"/>
    <w:rsid w:val="6EDA2EFB"/>
    <w:rsid w:val="6EF2519F"/>
    <w:rsid w:val="6F1A613D"/>
    <w:rsid w:val="6F8F2CBA"/>
    <w:rsid w:val="6FBE295A"/>
    <w:rsid w:val="6FC3584A"/>
    <w:rsid w:val="70257A5F"/>
    <w:rsid w:val="70601CD1"/>
    <w:rsid w:val="70D267DA"/>
    <w:rsid w:val="70DC0421"/>
    <w:rsid w:val="70EC52A1"/>
    <w:rsid w:val="712E1076"/>
    <w:rsid w:val="71B21732"/>
    <w:rsid w:val="71CA37D3"/>
    <w:rsid w:val="72673E79"/>
    <w:rsid w:val="72B420A3"/>
    <w:rsid w:val="72F55F25"/>
    <w:rsid w:val="73530236"/>
    <w:rsid w:val="744F4FE6"/>
    <w:rsid w:val="7474237D"/>
    <w:rsid w:val="748E7139"/>
    <w:rsid w:val="751A79DB"/>
    <w:rsid w:val="75BC4E47"/>
    <w:rsid w:val="75FF3398"/>
    <w:rsid w:val="761B2137"/>
    <w:rsid w:val="76421CE8"/>
    <w:rsid w:val="76582095"/>
    <w:rsid w:val="76637F52"/>
    <w:rsid w:val="76DE4D2B"/>
    <w:rsid w:val="76E0667F"/>
    <w:rsid w:val="773D43FC"/>
    <w:rsid w:val="77CF6F2C"/>
    <w:rsid w:val="78220A61"/>
    <w:rsid w:val="7836527E"/>
    <w:rsid w:val="784B6A5E"/>
    <w:rsid w:val="78952F3D"/>
    <w:rsid w:val="78D27386"/>
    <w:rsid w:val="792A2C19"/>
    <w:rsid w:val="79771EFF"/>
    <w:rsid w:val="797B469F"/>
    <w:rsid w:val="79B41970"/>
    <w:rsid w:val="79B60E95"/>
    <w:rsid w:val="79E3664A"/>
    <w:rsid w:val="7A1206EA"/>
    <w:rsid w:val="7A493B48"/>
    <w:rsid w:val="7AAC47A8"/>
    <w:rsid w:val="7B1B4355"/>
    <w:rsid w:val="7B564796"/>
    <w:rsid w:val="7BA66FDE"/>
    <w:rsid w:val="7BB77E7A"/>
    <w:rsid w:val="7BC518A3"/>
    <w:rsid w:val="7BCA7E32"/>
    <w:rsid w:val="7BE35642"/>
    <w:rsid w:val="7C000DC7"/>
    <w:rsid w:val="7C2B3F41"/>
    <w:rsid w:val="7C492B49"/>
    <w:rsid w:val="7C6A7AE3"/>
    <w:rsid w:val="7CE454D7"/>
    <w:rsid w:val="7D1D26F7"/>
    <w:rsid w:val="7D803CD0"/>
    <w:rsid w:val="7D850135"/>
    <w:rsid w:val="7DAF32A2"/>
    <w:rsid w:val="7E011956"/>
    <w:rsid w:val="7E2C28EB"/>
    <w:rsid w:val="7E786E7D"/>
    <w:rsid w:val="7EF8627F"/>
    <w:rsid w:val="7EFF4AF3"/>
    <w:rsid w:val="7F0F4136"/>
    <w:rsid w:val="7F367429"/>
    <w:rsid w:val="7F494CEB"/>
    <w:rsid w:val="7F826BB4"/>
    <w:rsid w:val="7FC40B23"/>
    <w:rsid w:val="7FF16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before="50" w:beforeLines="50" w:after="50" w:afterLines="50" w:line="360" w:lineRule="auto"/>
      <w:ind w:firstLine="420" w:firstLineChars="200"/>
      <w:jc w:val="both"/>
    </w:pPr>
    <w:rPr>
      <w:rFonts w:ascii="Arial" w:hAnsi="Arial" w:eastAsia="宋体" w:cs="Arial"/>
      <w:kern w:val="2"/>
      <w:sz w:val="21"/>
      <w:szCs w:val="24"/>
      <w:lang w:val="en-US" w:eastAsia="zh-CN" w:bidi="ar-SA"/>
    </w:rPr>
  </w:style>
  <w:style w:type="paragraph" w:styleId="2">
    <w:name w:val="heading 1"/>
    <w:basedOn w:val="3"/>
    <w:next w:val="1"/>
    <w:link w:val="49"/>
    <w:qFormat/>
    <w:uiPriority w:val="0"/>
    <w:pPr>
      <w:keepNext/>
      <w:keepLines/>
      <w:numPr>
        <w:ilvl w:val="0"/>
        <w:numId w:val="1"/>
      </w:numPr>
      <w:spacing w:before="100" w:beforeLines="100" w:after="100" w:afterLines="100"/>
      <w:ind w:left="0" w:firstLine="0" w:firstLineChars="0"/>
      <w:outlineLvl w:val="0"/>
    </w:pPr>
    <w:rPr>
      <w:b/>
      <w:bCs/>
      <w:kern w:val="44"/>
      <w:sz w:val="28"/>
      <w:szCs w:val="44"/>
    </w:rPr>
  </w:style>
  <w:style w:type="paragraph" w:styleId="4">
    <w:name w:val="heading 2"/>
    <w:basedOn w:val="1"/>
    <w:next w:val="1"/>
    <w:link w:val="47"/>
    <w:qFormat/>
    <w:uiPriority w:val="0"/>
    <w:pPr>
      <w:keepNext/>
      <w:keepLines/>
      <w:numPr>
        <w:ilvl w:val="1"/>
        <w:numId w:val="1"/>
      </w:numPr>
      <w:spacing w:before="200" w:after="200"/>
      <w:ind w:left="0" w:firstLine="0" w:firstLineChars="0"/>
      <w:outlineLvl w:val="1"/>
    </w:pPr>
    <w:rPr>
      <w:b/>
      <w:bCs/>
      <w:sz w:val="24"/>
      <w:szCs w:val="32"/>
    </w:rPr>
  </w:style>
  <w:style w:type="paragraph" w:styleId="5">
    <w:name w:val="heading 3"/>
    <w:basedOn w:val="1"/>
    <w:next w:val="1"/>
    <w:link w:val="48"/>
    <w:qFormat/>
    <w:uiPriority w:val="0"/>
    <w:pPr>
      <w:keepNext/>
      <w:keepLines/>
      <w:numPr>
        <w:ilvl w:val="2"/>
        <w:numId w:val="1"/>
      </w:numPr>
      <w:spacing w:before="260" w:after="260" w:line="240" w:lineRule="auto"/>
      <w:ind w:left="0" w:firstLine="0" w:firstLineChars="0"/>
      <w:outlineLvl w:val="2"/>
    </w:pPr>
    <w:rPr>
      <w:b/>
      <w:bCs/>
      <w:sz w:val="24"/>
      <w:szCs w:val="32"/>
    </w:rPr>
  </w:style>
  <w:style w:type="paragraph" w:styleId="6">
    <w:name w:val="heading 4"/>
    <w:basedOn w:val="1"/>
    <w:next w:val="1"/>
    <w:link w:val="36"/>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7">
    <w:name w:val="heading 5"/>
    <w:basedOn w:val="1"/>
    <w:next w:val="1"/>
    <w:semiHidden/>
    <w:unhideWhenUsed/>
    <w:qFormat/>
    <w:uiPriority w:val="9"/>
    <w:pPr>
      <w:keepNext/>
      <w:keepLines/>
      <w:numPr>
        <w:ilvl w:val="4"/>
        <w:numId w:val="1"/>
      </w:numPr>
      <w:spacing w:beforeLines="0" w:afterLines="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Lines="0" w:afterLines="0" w:line="317" w:lineRule="auto"/>
      <w:outlineLvl w:val="5"/>
    </w:pPr>
    <w:rPr>
      <w:rFonts w:eastAsia="黑体"/>
      <w:b/>
      <w:sz w:val="24"/>
    </w:rPr>
  </w:style>
  <w:style w:type="paragraph" w:styleId="9">
    <w:name w:val="heading 7"/>
    <w:basedOn w:val="1"/>
    <w:next w:val="1"/>
    <w:semiHidden/>
    <w:unhideWhenUsed/>
    <w:qFormat/>
    <w:uiPriority w:val="9"/>
    <w:pPr>
      <w:keepNext/>
      <w:keepLines/>
      <w:numPr>
        <w:ilvl w:val="6"/>
        <w:numId w:val="1"/>
      </w:numPr>
      <w:spacing w:beforeLines="0" w:afterLines="0"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Lines="0" w:afterLines="0" w:line="317" w:lineRule="auto"/>
      <w:outlineLvl w:val="7"/>
    </w:pPr>
    <w:rPr>
      <w:rFonts w:eastAsia="黑体"/>
      <w:sz w:val="24"/>
    </w:rPr>
  </w:style>
  <w:style w:type="paragraph" w:styleId="11">
    <w:name w:val="heading 9"/>
    <w:basedOn w:val="1"/>
    <w:next w:val="1"/>
    <w:semiHidden/>
    <w:unhideWhenUsed/>
    <w:qFormat/>
    <w:uiPriority w:val="9"/>
    <w:pPr>
      <w:keepNext/>
      <w:keepLines/>
      <w:numPr>
        <w:ilvl w:val="8"/>
        <w:numId w:val="1"/>
      </w:numPr>
      <w:spacing w:beforeLines="0" w:afterLines="0" w:line="317" w:lineRule="auto"/>
      <w:outlineLvl w:val="8"/>
    </w:pPr>
    <w:rPr>
      <w:rFonts w:eastAsia="黑体"/>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pPr>
      <w:spacing w:line="240" w:lineRule="auto"/>
    </w:pPr>
  </w:style>
  <w:style w:type="paragraph" w:styleId="12">
    <w:name w:val="toc 7"/>
    <w:basedOn w:val="1"/>
    <w:next w:val="1"/>
    <w:semiHidden/>
    <w:qFormat/>
    <w:uiPriority w:val="0"/>
    <w:pPr>
      <w:ind w:left="2520" w:leftChars="1200"/>
    </w:pPr>
  </w:style>
  <w:style w:type="paragraph" w:styleId="13">
    <w:name w:val="caption"/>
    <w:basedOn w:val="1"/>
    <w:next w:val="1"/>
    <w:unhideWhenUsed/>
    <w:qFormat/>
    <w:uiPriority w:val="35"/>
    <w:pPr>
      <w:spacing w:line="240" w:lineRule="auto"/>
      <w:ind w:firstLine="0" w:firstLineChars="0"/>
      <w:jc w:val="center"/>
    </w:pPr>
    <w:rPr>
      <w:rFonts w:eastAsia="黑体"/>
      <w:sz w:val="20"/>
    </w:rPr>
  </w:style>
  <w:style w:type="paragraph" w:styleId="14">
    <w:name w:val="Document Map"/>
    <w:basedOn w:val="1"/>
    <w:link w:val="42"/>
    <w:semiHidden/>
    <w:unhideWhenUsed/>
    <w:qFormat/>
    <w:uiPriority w:val="99"/>
    <w:rPr>
      <w:rFonts w:ascii="宋体"/>
      <w:sz w:val="18"/>
      <w:szCs w:val="18"/>
    </w:rPr>
  </w:style>
  <w:style w:type="paragraph" w:styleId="15">
    <w:name w:val="annotation text"/>
    <w:basedOn w:val="1"/>
    <w:link w:val="39"/>
    <w:unhideWhenUsed/>
    <w:qFormat/>
    <w:uiPriority w:val="99"/>
    <w:rPr>
      <w:sz w:val="20"/>
      <w:szCs w:val="20"/>
    </w:rPr>
  </w:style>
  <w:style w:type="paragraph" w:styleId="16">
    <w:name w:val="Body Text"/>
    <w:basedOn w:val="1"/>
    <w:semiHidden/>
    <w:qFormat/>
    <w:uiPriority w:val="0"/>
    <w:rPr>
      <w:color w:val="FF0000"/>
    </w:rPr>
  </w:style>
  <w:style w:type="paragraph" w:styleId="17">
    <w:name w:val="Body Text Indent"/>
    <w:basedOn w:val="1"/>
    <w:semiHidden/>
    <w:qFormat/>
    <w:uiPriority w:val="0"/>
    <w:pPr>
      <w:ind w:left="781" w:leftChars="372"/>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spacing w:line="240" w:lineRule="auto"/>
      <w:ind w:left="840" w:leftChars="400"/>
    </w:pPr>
  </w:style>
  <w:style w:type="paragraph" w:styleId="20">
    <w:name w:val="toc 8"/>
    <w:basedOn w:val="1"/>
    <w:next w:val="1"/>
    <w:semiHidden/>
    <w:qFormat/>
    <w:uiPriority w:val="0"/>
    <w:pPr>
      <w:ind w:left="2940" w:leftChars="1400"/>
    </w:pPr>
  </w:style>
  <w:style w:type="paragraph" w:styleId="21">
    <w:name w:val="Balloon Text"/>
    <w:basedOn w:val="1"/>
    <w:link w:val="41"/>
    <w:semiHidden/>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4"/>
    <w:basedOn w:val="1"/>
    <w:next w:val="1"/>
    <w:qFormat/>
    <w:uiPriority w:val="0"/>
    <w:pPr>
      <w:ind w:left="1260" w:leftChars="600"/>
    </w:pPr>
  </w:style>
  <w:style w:type="paragraph" w:styleId="25">
    <w:name w:val="toc 6"/>
    <w:basedOn w:val="1"/>
    <w:next w:val="1"/>
    <w:semiHidden/>
    <w:qFormat/>
    <w:uiPriority w:val="0"/>
    <w:pPr>
      <w:ind w:left="2100" w:leftChars="1000"/>
    </w:pPr>
  </w:style>
  <w:style w:type="paragraph" w:styleId="26">
    <w:name w:val="toc 2"/>
    <w:basedOn w:val="1"/>
    <w:next w:val="1"/>
    <w:qFormat/>
    <w:uiPriority w:val="39"/>
    <w:pPr>
      <w:spacing w:line="240" w:lineRule="auto"/>
      <w:ind w:left="420" w:leftChars="200"/>
    </w:pPr>
  </w:style>
  <w:style w:type="paragraph" w:styleId="27">
    <w:name w:val="toc 9"/>
    <w:basedOn w:val="1"/>
    <w:next w:val="1"/>
    <w:semiHidden/>
    <w:qFormat/>
    <w:uiPriority w:val="0"/>
    <w:pPr>
      <w:ind w:left="3360" w:leftChars="1600"/>
    </w:pPr>
  </w:style>
  <w:style w:type="paragraph" w:styleId="2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9">
    <w:name w:val="annotation subject"/>
    <w:basedOn w:val="15"/>
    <w:next w:val="15"/>
    <w:link w:val="40"/>
    <w:semiHidden/>
    <w:unhideWhenUsed/>
    <w:qFormat/>
    <w:uiPriority w:val="99"/>
    <w:rPr>
      <w:b/>
      <w:bCs/>
    </w:rPr>
  </w:style>
  <w:style w:type="table" w:styleId="31">
    <w:name w:val="Table Grid"/>
    <w:basedOn w:val="30"/>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basedOn w:val="32"/>
    <w:qFormat/>
    <w:uiPriority w:val="22"/>
    <w:rPr>
      <w:b/>
      <w:bCs/>
    </w:rPr>
  </w:style>
  <w:style w:type="character" w:styleId="34">
    <w:name w:val="Hyperlink"/>
    <w:basedOn w:val="32"/>
    <w:qFormat/>
    <w:uiPriority w:val="99"/>
    <w:rPr>
      <w:color w:val="0000FF"/>
      <w:u w:val="single"/>
    </w:rPr>
  </w:style>
  <w:style w:type="character" w:styleId="35">
    <w:name w:val="annotation reference"/>
    <w:basedOn w:val="32"/>
    <w:semiHidden/>
    <w:unhideWhenUsed/>
    <w:qFormat/>
    <w:uiPriority w:val="99"/>
    <w:rPr>
      <w:sz w:val="16"/>
      <w:szCs w:val="16"/>
    </w:rPr>
  </w:style>
  <w:style w:type="character" w:customStyle="1" w:styleId="36">
    <w:name w:val="标题 4 字符"/>
    <w:basedOn w:val="32"/>
    <w:link w:val="6"/>
    <w:qFormat/>
    <w:uiPriority w:val="9"/>
    <w:rPr>
      <w:rFonts w:asciiTheme="majorHAnsi" w:hAnsiTheme="majorHAnsi" w:eastAsiaTheme="majorEastAsia" w:cstheme="majorBidi"/>
      <w:b/>
      <w:bCs/>
      <w:kern w:val="2"/>
      <w:sz w:val="24"/>
      <w:szCs w:val="28"/>
    </w:rPr>
  </w:style>
  <w:style w:type="paragraph" w:customStyle="1" w:styleId="3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38">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39">
    <w:name w:val="批注文字 字符"/>
    <w:basedOn w:val="32"/>
    <w:link w:val="15"/>
    <w:qFormat/>
    <w:uiPriority w:val="99"/>
    <w:rPr>
      <w:kern w:val="2"/>
    </w:rPr>
  </w:style>
  <w:style w:type="character" w:customStyle="1" w:styleId="40">
    <w:name w:val="批注主题 字符"/>
    <w:basedOn w:val="39"/>
    <w:link w:val="29"/>
    <w:semiHidden/>
    <w:qFormat/>
    <w:uiPriority w:val="99"/>
    <w:rPr>
      <w:b/>
      <w:bCs/>
      <w:kern w:val="2"/>
    </w:rPr>
  </w:style>
  <w:style w:type="character" w:customStyle="1" w:styleId="41">
    <w:name w:val="批注框文本 字符"/>
    <w:basedOn w:val="32"/>
    <w:link w:val="21"/>
    <w:semiHidden/>
    <w:qFormat/>
    <w:uiPriority w:val="99"/>
    <w:rPr>
      <w:rFonts w:ascii="Microsoft YaHei UI" w:eastAsia="Microsoft YaHei UI"/>
      <w:kern w:val="2"/>
      <w:sz w:val="18"/>
      <w:szCs w:val="18"/>
    </w:rPr>
  </w:style>
  <w:style w:type="character" w:customStyle="1" w:styleId="42">
    <w:name w:val="文档结构图 字符"/>
    <w:basedOn w:val="32"/>
    <w:link w:val="14"/>
    <w:semiHidden/>
    <w:qFormat/>
    <w:uiPriority w:val="99"/>
    <w:rPr>
      <w:rFonts w:ascii="宋体" w:hAnsi="Arial" w:cs="Arial"/>
      <w:kern w:val="2"/>
      <w:sz w:val="18"/>
      <w:szCs w:val="18"/>
    </w:rPr>
  </w:style>
  <w:style w:type="paragraph" w:customStyle="1" w:styleId="43">
    <w:name w:val="图表"/>
    <w:basedOn w:val="1"/>
    <w:qFormat/>
    <w:uiPriority w:val="0"/>
    <w:pPr>
      <w:spacing w:line="240" w:lineRule="auto"/>
      <w:ind w:firstLine="0" w:firstLineChars="0"/>
      <w:jc w:val="center"/>
    </w:pPr>
  </w:style>
  <w:style w:type="paragraph" w:customStyle="1" w:styleId="44">
    <w:name w:val="王奕，内文"/>
    <w:qFormat/>
    <w:uiPriority w:val="0"/>
    <w:pPr>
      <w:spacing w:line="360" w:lineRule="auto"/>
      <w:ind w:firstLine="200" w:firstLineChars="200"/>
    </w:pPr>
    <w:rPr>
      <w:rFonts w:ascii="Times New Roman" w:hAnsi="Times New Roman" w:eastAsia="宋体" w:cs="MS Shell Dlg"/>
      <w:color w:val="000000"/>
      <w:lang w:val="en-US" w:eastAsia="zh-CN" w:bidi="ar-SA"/>
    </w:rPr>
  </w:style>
  <w:style w:type="character" w:customStyle="1" w:styleId="45">
    <w:name w:val="font11"/>
    <w:basedOn w:val="32"/>
    <w:qFormat/>
    <w:uiPriority w:val="0"/>
    <w:rPr>
      <w:rFonts w:ascii="Arial" w:hAnsi="Arial" w:cs="Arial"/>
      <w:color w:val="000000"/>
      <w:sz w:val="21"/>
      <w:szCs w:val="21"/>
      <w:u w:val="none"/>
    </w:rPr>
  </w:style>
  <w:style w:type="character" w:customStyle="1" w:styleId="46">
    <w:name w:val="font01"/>
    <w:basedOn w:val="32"/>
    <w:qFormat/>
    <w:uiPriority w:val="0"/>
    <w:rPr>
      <w:rFonts w:hint="eastAsia" w:ascii="等线" w:hAnsi="等线" w:eastAsia="等线" w:cs="等线"/>
      <w:color w:val="000000"/>
      <w:sz w:val="24"/>
      <w:szCs w:val="24"/>
      <w:u w:val="none"/>
      <w:vertAlign w:val="superscript"/>
    </w:rPr>
  </w:style>
  <w:style w:type="character" w:customStyle="1" w:styleId="47">
    <w:name w:val="标题 2 字符"/>
    <w:link w:val="4"/>
    <w:qFormat/>
    <w:uiPriority w:val="0"/>
    <w:rPr>
      <w:rFonts w:ascii="Arial" w:hAnsi="Arial" w:eastAsia="宋体"/>
      <w:b/>
      <w:bCs/>
      <w:sz w:val="24"/>
      <w:szCs w:val="32"/>
    </w:rPr>
  </w:style>
  <w:style w:type="character" w:customStyle="1" w:styleId="48">
    <w:name w:val="标题 3 字符"/>
    <w:link w:val="5"/>
    <w:qFormat/>
    <w:uiPriority w:val="0"/>
    <w:rPr>
      <w:b/>
      <w:bCs/>
      <w:sz w:val="24"/>
      <w:szCs w:val="32"/>
    </w:rPr>
  </w:style>
  <w:style w:type="character" w:customStyle="1" w:styleId="49">
    <w:name w:val="标题 1 字符"/>
    <w:link w:val="2"/>
    <w:qFormat/>
    <w:uiPriority w:val="0"/>
    <w:rPr>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5"/>
    <customShpInfo spid="_x0000_s2054"/>
    <customShpInfo spid="_x0000_s2049"/>
    <customShpInfo spid="_x0000_s1026" textRotate="1"/>
    <customShpInfo spid="_x0000_s2057"/>
    <customShpInfo spid="_x0000_s2056"/>
    <customShpInfo spid="_x0000_s2060"/>
    <customShpInfo spid="_x0000_s205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4F5D1F-1552-49A0-A381-43CE3FA8AB8D}">
  <ds:schemaRefs/>
</ds:datastoreItem>
</file>

<file path=docProps/app.xml><?xml version="1.0" encoding="utf-8"?>
<Properties xmlns="http://schemas.openxmlformats.org/officeDocument/2006/extended-properties" xmlns:vt="http://schemas.openxmlformats.org/officeDocument/2006/docPropsVTypes">
  <Template>Normal.dotm</Template>
  <Company>北京北大天正科技发展有限公司</Company>
  <Pages>10</Pages>
  <Words>3339</Words>
  <Characters>3475</Characters>
  <Lines>38</Lines>
  <Paragraphs>10</Paragraphs>
  <TotalTime>4</TotalTime>
  <ScaleCrop>false</ScaleCrop>
  <LinksUpToDate>false</LinksUpToDate>
  <CharactersWithSpaces>3717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是澄不是登</cp:lastModifiedBy>
  <cp:lastPrinted>2022-12-02T06:47:22Z</cp:lastPrinted>
  <dcterms:modified xsi:type="dcterms:W3CDTF">2022-12-02T06:47:35Z</dcterms:modified>
  <dc:title>二、项目开发计划</dc:title>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8AD75D579D0D46319803A70DF2F3C699</vt:lpwstr>
  </property>
</Properties>
</file>