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1270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MS001-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.01.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001SM</w:t>
                            </w:r>
                            <w:r>
                              <w:rPr>
                                <w:rFonts w:hint="eastAsia"/>
                              </w:rPr>
                              <w:t>.1.0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5pt;margin-top:3.45pt;height:41.1pt;width:179pt;z-index:251659264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b8i&#10;1dMAAAAIAQAADwAAAAAAAAABACAAAAAiAAAAZHJzL2Rvd25yZXYueG1sUEsBAhQAFAAAAAgAh07i&#10;QP50pAZ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MS001-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.01.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001SM</w:t>
                      </w:r>
                      <w:r>
                        <w:rPr>
                          <w:rFonts w:hint="eastAsia"/>
                        </w:rPr>
                        <w:t>.1.0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  <w:rPr>
          <w:rFonts w:hint="eastAsia" w:eastAsia="宋体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210820</wp:posOffset>
                </wp:positionV>
                <wp:extent cx="4706620" cy="17221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导引模块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65pt;margin-top:16.6pt;height:135.6pt;width:370.6pt;z-index:251664384;mso-width-relative:page;mso-height-relative:page;" filled="f" stroked="f" coordsize="21600,21600" o:gfxdata="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NpIG/2wAAAAkBAAAPAAAAAAAAAAEAIAAAACIAAABkcnMvZG93bnJldi54bWxQSwECFAAU&#10;AAAACACHTuJA2IlI07UBAABaAwAADgAAAAAAAAABACAAAAAq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导引模块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213360</wp:posOffset>
                </wp:positionV>
                <wp:extent cx="3714115" cy="7696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  <w:t>结构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概要设计说明书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25pt;margin-top:16.8pt;height:60.6pt;width:292.45pt;z-index:251662336;mso-width-relative:page;mso-height-relative:page;" filled="f" stroked="f" coordsize="21600,21600" o:gfxdata="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/Y0xgNoAAAAKAQAADwAAAAAAAAABACAAAAAiAAAAZHJzL2Rvd25yZXYueG1sUEsBAhQA&#10;FAAAAAgAh07iQDxLhDa3AQAAVwMAAA4AAAAAAAAAAQAgAAAAKQ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  <w:t>结构</w:t>
                      </w: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概要设计说明书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1192530</wp:posOffset>
                </wp:positionH>
                <wp:positionV relativeFrom="paragraph">
                  <wp:posOffset>499110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93.9pt;margin-top:39.3pt;height:158.2pt;width:217.85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z6iDe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1312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4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_Toc22373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_Toc22373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_Toc20885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产品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需求</w:t>
      </w:r>
      <w:r>
        <w:tab/>
      </w:r>
      <w:r>
        <w:fldChar w:fldCharType="begin"/>
      </w:r>
      <w:r>
        <w:instrText xml:space="preserve"> PAGEREF _Toc20885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_Toc29661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  <w:lang w:val="en-US" w:eastAsia="zh-CN"/>
        </w:rPr>
        <w:t>产品</w:t>
      </w:r>
      <w:r>
        <w:rPr>
          <w:rFonts w:hint="default"/>
        </w:rPr>
        <w:t>非功能需求</w:t>
      </w:r>
      <w:r>
        <w:tab/>
      </w:r>
      <w:r>
        <w:fldChar w:fldCharType="begin"/>
      </w:r>
      <w:r>
        <w:instrText xml:space="preserve"> PAGEREF _Toc29661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  <w:lang w:val="en-US" w:eastAsia="zh-CN"/>
        </w:rPr>
        <w:t>外部接口</w:t>
      </w:r>
      <w:r>
        <w:tab/>
      </w:r>
      <w:r>
        <w:fldChar w:fldCharType="begin"/>
      </w:r>
      <w:r>
        <w:instrText xml:space="preserve"> PAGEREF _Toc296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_Toc18641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外观造型设计</w:t>
      </w:r>
      <w:r>
        <w:tab/>
      </w:r>
      <w:r>
        <w:fldChar w:fldCharType="begin"/>
      </w:r>
      <w:r>
        <w:instrText xml:space="preserve"> PAGEREF _Toc18641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_Toc32619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  <w:lang w:val="en-US" w:eastAsia="zh-CN"/>
        </w:rPr>
        <w:t>造型设计</w:t>
      </w:r>
      <w:r>
        <w:tab/>
      </w:r>
      <w:r>
        <w:fldChar w:fldCharType="begin"/>
      </w:r>
      <w:r>
        <w:instrText xml:space="preserve"> PAGEREF _Toc32619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_Toc24145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val="en-US" w:eastAsia="zh-CN"/>
        </w:rPr>
        <w:t>整机结构设计</w:t>
      </w:r>
      <w:r>
        <w:tab/>
      </w:r>
      <w:r>
        <w:fldChar w:fldCharType="begin"/>
      </w:r>
      <w:r>
        <w:instrText xml:space="preserve"> PAGEREF _Toc24145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_Toc30516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  <w:lang w:val="en-US" w:eastAsia="zh-CN"/>
        </w:rPr>
        <w:t>整机结构组成</w:t>
      </w:r>
      <w:r>
        <w:tab/>
      </w:r>
      <w:r>
        <w:fldChar w:fldCharType="begin"/>
      </w:r>
      <w:r>
        <w:instrText xml:space="preserve"> PAGEREF _Toc30516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_Toc4796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  <w:lang w:val="en-US" w:eastAsia="zh-CN"/>
        </w:rPr>
        <w:t>整机结构组成</w:t>
      </w:r>
      <w:r>
        <w:tab/>
      </w:r>
      <w:r>
        <w:fldChar w:fldCharType="begin"/>
      </w:r>
      <w:r>
        <w:instrText xml:space="preserve"> PAGEREF _Toc4796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_Toc14528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  <w:lang w:val="en-US" w:eastAsia="zh-CN"/>
        </w:rPr>
        <w:t>选型设计</w:t>
      </w:r>
      <w:r>
        <w:tab/>
      </w:r>
      <w:r>
        <w:fldChar w:fldCharType="begin"/>
      </w:r>
      <w:r>
        <w:instrText xml:space="preserve"> PAGEREF _Toc14528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_Toc6990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人机交互设计</w:t>
      </w:r>
      <w:r>
        <w:tab/>
      </w:r>
      <w:r>
        <w:fldChar w:fldCharType="begin"/>
      </w:r>
      <w:r>
        <w:instrText xml:space="preserve"> PAGEREF _Toc6990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_Toc31366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  <w:lang w:val="en-US" w:eastAsia="zh-CN"/>
        </w:rPr>
        <w:t>电磁兼容设计</w:t>
      </w:r>
      <w:r>
        <w:tab/>
      </w:r>
      <w:r>
        <w:fldChar w:fldCharType="begin"/>
      </w:r>
      <w:r>
        <w:instrText xml:space="preserve"> PAGEREF _Toc31366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_Toc31267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屏蔽设计</w:t>
      </w:r>
      <w:r>
        <w:tab/>
      </w:r>
      <w:r>
        <w:fldChar w:fldCharType="begin"/>
      </w:r>
      <w:r>
        <w:instrText xml:space="preserve"> PAGEREF _Toc31267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_Toc19887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滤波设计</w:t>
      </w:r>
      <w:r>
        <w:tab/>
      </w:r>
      <w:r>
        <w:fldChar w:fldCharType="begin"/>
      </w:r>
      <w:r>
        <w:instrText xml:space="preserve"> PAGEREF _Toc19887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_Toc7510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6. </w:t>
      </w:r>
      <w:r>
        <w:rPr>
          <w:rFonts w:hint="eastAsia"/>
          <w:lang w:val="en-US" w:eastAsia="zh-CN"/>
        </w:rPr>
        <w:t>接地及防静电设计</w:t>
      </w:r>
      <w:r>
        <w:tab/>
      </w:r>
      <w:r>
        <w:fldChar w:fldCharType="begin"/>
      </w:r>
      <w:r>
        <w:instrText xml:space="preserve"> PAGEREF _Toc7510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_Toc19246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接地设计</w:t>
      </w:r>
      <w:r>
        <w:tab/>
      </w:r>
      <w:r>
        <w:fldChar w:fldCharType="begin"/>
      </w:r>
      <w:r>
        <w:instrText xml:space="preserve"> PAGEREF _Toc19246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_Toc14379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防静电设计</w:t>
      </w:r>
      <w:r>
        <w:tab/>
      </w:r>
      <w:r>
        <w:fldChar w:fldCharType="begin"/>
      </w:r>
      <w:r>
        <w:instrText xml:space="preserve"> PAGEREF _Toc14379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_Toc26327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散热设计</w:t>
      </w:r>
      <w:r>
        <w:tab/>
      </w:r>
      <w:r>
        <w:fldChar w:fldCharType="begin"/>
      </w:r>
      <w:r>
        <w:instrText xml:space="preserve"> PAGEREF _Toc26327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_Toc11869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散热设计</w:t>
      </w:r>
      <w:r>
        <w:tab/>
      </w:r>
      <w:r>
        <w:fldChar w:fldCharType="begin"/>
      </w:r>
      <w:r>
        <w:instrText xml:space="preserve"> PAGEREF _Toc11869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_Toc32735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检修维护及保护性设计</w:t>
      </w:r>
      <w:r>
        <w:tab/>
      </w:r>
      <w:r>
        <w:fldChar w:fldCharType="begin"/>
      </w:r>
      <w:r>
        <w:instrText xml:space="preserve"> PAGEREF _Toc32735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_Toc27400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运输包装设计</w:t>
      </w:r>
      <w:r>
        <w:tab/>
      </w:r>
      <w:r>
        <w:fldChar w:fldCharType="begin"/>
      </w:r>
      <w:r>
        <w:instrText xml:space="preserve"> PAGEREF _Toc27400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_Toc17070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检修维护设计</w:t>
      </w:r>
      <w:r>
        <w:tab/>
      </w:r>
      <w:r>
        <w:fldChar w:fldCharType="begin"/>
      </w:r>
      <w:r>
        <w:instrText xml:space="preserve"> PAGEREF _Toc17070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9. </w:t>
      </w:r>
      <w:r>
        <w:rPr>
          <w:rFonts w:hint="eastAsia"/>
          <w:lang w:val="en-US" w:eastAsia="zh-CN"/>
        </w:rPr>
        <w:t>总结</w:t>
      </w:r>
      <w:r>
        <w:tab/>
      </w:r>
      <w:r>
        <w:fldChar w:fldCharType="begin"/>
      </w:r>
      <w:r>
        <w:instrText xml:space="preserve"> PAGEREF _Toc1997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3"/>
        <w:numPr>
          <w:ilvl w:val="0"/>
          <w:numId w:val="2"/>
        </w:numPr>
        <w:spacing w:before="312" w:after="312"/>
      </w:pPr>
      <w:bookmarkStart w:id="0" w:name="_Toc22373"/>
      <w:r>
        <w:rPr>
          <w:rFonts w:hint="eastAsia"/>
          <w:lang w:val="en-US" w:eastAsia="zh-CN"/>
        </w:rPr>
        <w:t>概述</w:t>
      </w:r>
      <w:bookmarkEnd w:id="0"/>
    </w:p>
    <w:p>
      <w:pPr>
        <w:pStyle w:val="4"/>
        <w:spacing w:before="156" w:after="156"/>
      </w:pPr>
      <w:bookmarkStart w:id="1" w:name="_Toc16384"/>
      <w:bookmarkStart w:id="2" w:name="_Toc20885"/>
      <w:bookmarkStart w:id="3" w:name="_Toc29634"/>
      <w:r>
        <w:rPr>
          <w:rFonts w:hint="eastAsia"/>
        </w:rPr>
        <w:t>产品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需求</w:t>
      </w:r>
      <w:bookmarkEnd w:id="1"/>
      <w:bookmarkEnd w:id="2"/>
      <w:bookmarkEnd w:id="3"/>
    </w:p>
    <w:p>
      <w:r>
        <w:rPr>
          <w:rFonts w:hint="eastAsia"/>
          <w:lang w:val="en-US" w:eastAsia="zh-CN"/>
        </w:rPr>
        <w:t xml:space="preserve">  以下设计需求来源于《MS-001产品技术需求说明书》。</w:t>
      </w:r>
    </w:p>
    <w:p>
      <w:pPr>
        <w:pStyle w:val="13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产品功能需求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900"/>
        <w:gridCol w:w="3706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编号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需求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实现方式和说明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使用环境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0001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手术室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材料和器件选型符合手术室要求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安装方式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0002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可移动</w:t>
            </w:r>
          </w:p>
        </w:tc>
        <w:tc>
          <w:tcPr>
            <w:tcW w:w="272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台车底部安装有刹车的脚轮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移动方式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0004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脚轮移动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接口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0005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USB口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个（USB常用，操作台上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2个、后面板1个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）</w:t>
            </w:r>
          </w:p>
        </w:tc>
        <w:tc>
          <w:tcPr>
            <w:tcW w:w="272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根据要求设计接口和按钮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0006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网口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个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0007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电源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接口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1个（防脱落设计）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0008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脚踏开关插口1个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0009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急停开关1个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0010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台车升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降按钮各1个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包含指示灯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）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0011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通道升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降按钮各1个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包含指示灯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）</w:t>
            </w: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，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结构设计为接线式遥控器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0012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系统开机按钮1个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包含指示灯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）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0013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机械臂上电开关按钮1个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包含指示灯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）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灯光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0014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电源指示灯1个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设备上电后立即亮起</w:t>
            </w:r>
          </w:p>
        </w:tc>
        <w:tc>
          <w:tcPr>
            <w:tcW w:w="272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设置相应的灯光元件安装结构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0015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系统运行指示灯1个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0016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机械臂运行指示灯1个，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当机械臂运动时，指示灯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闪烁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，当机械臂停止运动时，指示灯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常亮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，机械臂运行故障时，指示灯闪烁提示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造型风格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001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8</w:t>
            </w:r>
          </w:p>
        </w:tc>
        <w:tc>
          <w:tcPr>
            <w:tcW w:w="37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科技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、简约、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专业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外协ID公司根据要求设计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130017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显示方式-15寸显示器</w:t>
            </w:r>
          </w:p>
        </w:tc>
        <w:tc>
          <w:tcPr>
            <w:tcW w:w="272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电子选型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0019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机械臂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及控制系统</w:t>
            </w:r>
          </w:p>
        </w:tc>
        <w:tc>
          <w:tcPr>
            <w:tcW w:w="272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0020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主机</w:t>
            </w:r>
          </w:p>
        </w:tc>
        <w:tc>
          <w:tcPr>
            <w:tcW w:w="272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0021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UPS</w:t>
            </w:r>
          </w:p>
        </w:tc>
        <w:tc>
          <w:tcPr>
            <w:tcW w:w="272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0022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交换机</w:t>
            </w:r>
          </w:p>
        </w:tc>
        <w:tc>
          <w:tcPr>
            <w:tcW w:w="272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0023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升降立柱</w:t>
            </w:r>
          </w:p>
        </w:tc>
        <w:tc>
          <w:tcPr>
            <w:tcW w:w="272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0024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电源模块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滤波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器</w:t>
            </w:r>
          </w:p>
        </w:tc>
        <w:tc>
          <w:tcPr>
            <w:tcW w:w="272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0025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显示器</w:t>
            </w:r>
          </w:p>
        </w:tc>
        <w:tc>
          <w:tcPr>
            <w:tcW w:w="272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0026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脚撑、静音轮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选择合适的万向脚撑和医用脚轮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0027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脚踏开关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电子选型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0028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体位反馈模块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的固定支架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在台车机身设置支撑杆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结构设计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0029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脚踏收纳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脚踏开关在正常使用时放置在地面上，当结束使用后应设计一个收纳位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设置脚踏收纳盒结构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003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键鼠放置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台车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上应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highlight w:val="none"/>
              </w:rPr>
              <w:t>该可以放置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highlight w:val="none"/>
                <w:lang w:val="en-US" w:eastAsia="zh-CN"/>
              </w:rPr>
              <w:t>有线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highlight w:val="none"/>
              </w:rPr>
              <w:t>键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盘和鼠标并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设计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收纳位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设置键鼠放置位置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003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设备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检修口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机械臂控制箱位置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设计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设备检修口，方便快速检修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外壳设置检修口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003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2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机械臂工作高度：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当设备工作时，要求机械臂的基座距离地面1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.1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m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左右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机械臂基座安装高度根据要求设计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003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3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设备重量：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台车设计完成后总体重量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大于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200公斤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配重设计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003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4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散热：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外壳有散孔，热源主要为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主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机、机械臂控制系统、UPS</w:t>
            </w:r>
          </w:p>
        </w:tc>
        <w:tc>
          <w:tcPr>
            <w:tcW w:w="272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外壳设置散热孔，并设计防尘结构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003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5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防尘：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进风口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散热口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有防尘措施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003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6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包装和运输要求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台车的运输和包装方便（台车包装时机械臂和显示器要单独包装，设计时要考虑机械臂跟显示器的可拆卸性，方便拆装）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台车模块化设计，方便安装，减小包装尺寸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003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7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设备断电后可以单独启动UPS，控制台车升降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电子设计控制方式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外观设计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003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8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设计外观整体性时要考虑机械臂有个固定的收纳姿态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软件/机械臂作相应设计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39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良好的耐磨性以及抗划伤性、外观污渍好清理、外观强度可靠（满足一定的防碰撞强度）</w:t>
            </w:r>
          </w:p>
        </w:tc>
        <w:tc>
          <w:tcPr>
            <w:tcW w:w="272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工业设计配色、加工供应商采用合适的油漆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004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设计外观整体性要考虑机械臂的配色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004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  <w:t>油漆喷涂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w w:val="95"/>
                <w:sz w:val="21"/>
                <w:highlight w:val="none"/>
              </w:rPr>
              <w:t>材料要求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004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外壳材料为ABS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外壳材料采用ABS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  <w:t>工艺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trike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strike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004</w:t>
            </w:r>
            <w:r>
              <w:rPr>
                <w:rFonts w:hint="eastAsia" w:ascii="Times New Roman" w:hAnsi="Times New Roman" w:cs="Times New Roman"/>
                <w:strike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  <w:t>亚光</w:t>
            </w: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  <w:t>油漆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采用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  <w:t>亚光油漆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  <w:t>文字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13</w:t>
            </w: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004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37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商标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 xml:space="preserve"> logo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铭牌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设置铭牌和合适的外壳丝印图案和标签</w:t>
            </w:r>
          </w:p>
        </w:tc>
      </w:tr>
    </w:tbl>
    <w:p>
      <w:pPr>
        <w:pStyle w:val="4"/>
        <w:bidi w:val="0"/>
        <w:rPr>
          <w:rFonts w:hint="default"/>
        </w:rPr>
      </w:pPr>
      <w:bookmarkStart w:id="4" w:name="_Toc22659"/>
      <w:bookmarkStart w:id="5" w:name="_Toc9464"/>
      <w:bookmarkStart w:id="6" w:name="_Toc26631"/>
      <w:bookmarkStart w:id="7" w:name="_Toc29661"/>
      <w:bookmarkStart w:id="8" w:name="_Toc1498"/>
      <w:r>
        <w:rPr>
          <w:rFonts w:hint="eastAsia"/>
          <w:lang w:val="en-US" w:eastAsia="zh-CN"/>
        </w:rPr>
        <w:t>产品</w:t>
      </w:r>
      <w:r>
        <w:rPr>
          <w:rFonts w:hint="default"/>
        </w:rPr>
        <w:t>非功能需求</w:t>
      </w:r>
      <w:bookmarkEnd w:id="4"/>
      <w:bookmarkEnd w:id="5"/>
      <w:bookmarkEnd w:id="6"/>
      <w:bookmarkEnd w:id="7"/>
      <w:bookmarkEnd w:id="8"/>
    </w:p>
    <w:p>
      <w:pPr>
        <w:pStyle w:val="13"/>
        <w:jc w:val="center"/>
        <w:rPr>
          <w:rFonts w:hint="eastAsia"/>
          <w:lang w:eastAsia="zh-CN"/>
        </w:rPr>
      </w:pPr>
      <w:bookmarkStart w:id="9" w:name="_Toc25128"/>
      <w:bookmarkStart w:id="10" w:name="_Toc18471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产品非功能需求表</w:t>
      </w:r>
    </w:p>
    <w:bookmarkEnd w:id="9"/>
    <w:bookmarkEnd w:id="10"/>
    <w:tbl>
      <w:tblPr>
        <w:tblStyle w:val="3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990"/>
        <w:gridCol w:w="3555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编号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需求</w:t>
            </w:r>
          </w:p>
        </w:tc>
        <w:tc>
          <w:tcPr>
            <w:tcW w:w="17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实现方式和说明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630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标识标签</w:t>
            </w: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strike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01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标签、铭牌需要</w:t>
            </w:r>
            <w:r>
              <w:rPr>
                <w:rFonts w:hint="default"/>
                <w:color w:val="auto"/>
                <w:highlight w:val="none"/>
                <w:lang w:val="en-US" w:eastAsia="zh-CN"/>
              </w:rPr>
              <w:t>用工具或用较大的力才能取下</w:t>
            </w:r>
          </w:p>
        </w:tc>
        <w:tc>
          <w:tcPr>
            <w:tcW w:w="1702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按法规及标准要求设计标签和标识，贴在</w:t>
            </w:r>
            <w:bookmarkStart w:id="31" w:name="_GoBack"/>
            <w:bookmarkEnd w:id="31"/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相应的位置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必须标记生产商的名字或商标标记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；</w:t>
            </w:r>
          </w:p>
        </w:tc>
        <w:tc>
          <w:tcPr>
            <w:tcW w:w="1702" w:type="pct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用于警告性说明，指导性说明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标识，应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贴在显著的位置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；</w:t>
            </w:r>
          </w:p>
        </w:tc>
        <w:tc>
          <w:tcPr>
            <w:tcW w:w="1702" w:type="pct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固定设备的标签安装在正常使用位置时能看清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；</w:t>
            </w:r>
          </w:p>
        </w:tc>
        <w:tc>
          <w:tcPr>
            <w:tcW w:w="1702" w:type="pct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设备的连接接口应该有标识；</w:t>
            </w:r>
          </w:p>
        </w:tc>
        <w:tc>
          <w:tcPr>
            <w:tcW w:w="1702" w:type="pct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highlight w:val="none"/>
              </w:rPr>
              <w:t>与电源的连接需标明相关信息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；</w:t>
            </w:r>
          </w:p>
        </w:tc>
        <w:tc>
          <w:tcPr>
            <w:tcW w:w="1702" w:type="pct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Arial" w:hAnsi="Arial" w:cs="Arial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  <w:t>如有应用部分，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应用部分应标记电击防护程度分类</w:t>
            </w:r>
            <w:r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  <w:t>等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相关符号</w:t>
            </w:r>
            <w:r>
              <w:rPr>
                <w:rFonts w:hint="default" w:ascii="Times New Roman" w:hAnsi="Times New Roman" w:cs="Times New Roman"/>
                <w:color w:val="auto"/>
                <w:highlight w:val="none"/>
                <w:lang w:eastAsia="zh-CN"/>
              </w:rPr>
              <w:t>；</w:t>
            </w:r>
          </w:p>
        </w:tc>
        <w:tc>
          <w:tcPr>
            <w:tcW w:w="1702" w:type="pct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Arial" w:hAnsi="Arial" w:cs="Arial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ind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highlight w:val="none"/>
              </w:rPr>
              <w:t>安全符号和警告性</w:t>
            </w:r>
            <w:r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  <w:t>的标识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应</w:t>
            </w:r>
            <w:r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  <w:t>有对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能造成生理效应的危险适当标记，如激光</w:t>
            </w:r>
            <w:r>
              <w:rPr>
                <w:rFonts w:hint="default" w:ascii="Times New Roman" w:hAnsi="Times New Roman" w:cs="Times New Roman"/>
                <w:color w:val="auto"/>
                <w:highlight w:val="none"/>
                <w:lang w:eastAsia="zh-CN"/>
              </w:rPr>
              <w:t>；</w:t>
            </w:r>
          </w:p>
        </w:tc>
        <w:tc>
          <w:tcPr>
            <w:tcW w:w="1702" w:type="pct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Arial" w:hAnsi="Arial" w:cs="Arial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firstLine="0" w:firstLineChars="0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109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熔断器，温度保护开关和热流保护开关：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在其附近标上型号、额定值，在随附文件中给出参考标记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。</w:t>
            </w:r>
          </w:p>
        </w:tc>
        <w:tc>
          <w:tcPr>
            <w:tcW w:w="1702" w:type="pct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Arial" w:hAnsi="Arial" w:cs="Arial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电磁兼容要求</w:t>
            </w: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01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辐射</w:t>
            </w: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1702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通过器件选型（电子负责）及塑料外壳内部喷导电漆，满足电磁兼容要求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传导发射</w:t>
            </w: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17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静电放电</w:t>
            </w: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17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射频磁场辐射</w:t>
            </w: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17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脉冲群</w:t>
            </w: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17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浪涌</w:t>
            </w: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17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射频场传导骚扰</w:t>
            </w: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17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电压暂降、短时中断</w:t>
            </w: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17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工频磁场</w:t>
            </w: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应符合YY 0505-2012《医用电气设备 第1-2部分 安全通用要求并列标准 电磁兼容 要求和试验》的要求</w:t>
            </w:r>
          </w:p>
        </w:tc>
        <w:tc>
          <w:tcPr>
            <w:tcW w:w="17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机械安全</w:t>
            </w: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01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产品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应该有防护装置或保护措施保证设备的安全</w:t>
            </w:r>
          </w:p>
        </w:tc>
        <w:tc>
          <w:tcPr>
            <w:tcW w:w="17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按要求设计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产品和零件表面不能有毛刺，锐角和锐边</w:t>
            </w:r>
          </w:p>
        </w:tc>
        <w:tc>
          <w:tcPr>
            <w:tcW w:w="17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零件图纸要求去毛刺及锐角倒钝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Cs w:val="21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产品</w:t>
            </w:r>
            <w:r>
              <w:rPr>
                <w:rFonts w:hint="default"/>
                <w:color w:val="auto"/>
                <w:highlight w:val="none"/>
                <w:lang w:val="en-US" w:eastAsia="zh-CN"/>
              </w:rPr>
              <w:t>包括部件的任何调节孔盖及所有零件都应该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有一定的</w:t>
            </w:r>
            <w:r>
              <w:rPr>
                <w:rFonts w:hint="default"/>
                <w:color w:val="auto"/>
                <w:highlight w:val="none"/>
                <w:lang w:val="en-US" w:eastAsia="zh-CN"/>
              </w:rPr>
              <w:t>刚度</w:t>
            </w:r>
          </w:p>
        </w:tc>
        <w:tc>
          <w:tcPr>
            <w:tcW w:w="1702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按要求设计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Cs w:val="21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产品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中用于支撑或固定患者的部件，应设计、制造成使身体损伤和固定件意外松动的危险应该减到最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小</w:t>
            </w:r>
          </w:p>
        </w:tc>
        <w:tc>
          <w:tcPr>
            <w:tcW w:w="17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Cs w:val="21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产品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正常使用时，设备不能倾斜造成失衡</w:t>
            </w:r>
          </w:p>
        </w:tc>
        <w:tc>
          <w:tcPr>
            <w:tcW w:w="17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无安全装置的悬挂系统载荷应不超过安全工作载荷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；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设计时应该考虑磨损、腐蚀等老化时的安全系数</w:t>
            </w:r>
          </w:p>
        </w:tc>
        <w:tc>
          <w:tcPr>
            <w:tcW w:w="17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default"/>
                <w:color w:val="auto"/>
                <w:highlight w:val="none"/>
              </w:rPr>
              <w:t>产品的外壳要承受一定的</w:t>
            </w: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按压测试</w:t>
            </w:r>
          </w:p>
        </w:tc>
        <w:tc>
          <w:tcPr>
            <w:tcW w:w="17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Cs w:val="21"/>
                <w:highlight w:val="none"/>
              </w:rPr>
            </w:pPr>
            <w:r>
              <w:rPr>
                <w:rFonts w:hint="default"/>
                <w:color w:val="auto"/>
                <w:highlight w:val="none"/>
              </w:rPr>
              <w:t>产品的外壳要承受一定的冲击力</w:t>
            </w:r>
          </w:p>
        </w:tc>
        <w:tc>
          <w:tcPr>
            <w:tcW w:w="17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环境</w:t>
            </w: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01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环境试验应符合 GB/T 14710-2009 《医用电器环境要求及试验方法》并制定相应的环境试验表</w:t>
            </w:r>
          </w:p>
        </w:tc>
        <w:tc>
          <w:tcPr>
            <w:tcW w:w="17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按要求设计并作测试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其它</w:t>
            </w:r>
          </w:p>
        </w:tc>
        <w:tc>
          <w:tcPr>
            <w:tcW w:w="5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0703</w:t>
            </w:r>
          </w:p>
        </w:tc>
        <w:tc>
          <w:tcPr>
            <w:tcW w:w="208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应最低满足8年的有效期。</w:t>
            </w:r>
          </w:p>
        </w:tc>
        <w:tc>
          <w:tcPr>
            <w:tcW w:w="17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按有效期8年以上设计</w:t>
            </w:r>
          </w:p>
        </w:tc>
      </w:tr>
    </w:tbl>
    <w:p/>
    <w:p>
      <w:pPr>
        <w:pStyle w:val="4"/>
        <w:spacing w:before="156" w:after="156"/>
      </w:pPr>
      <w:bookmarkStart w:id="11" w:name="_Toc296"/>
      <w:r>
        <w:rPr>
          <w:rFonts w:hint="eastAsia"/>
          <w:lang w:val="en-US" w:eastAsia="zh-CN"/>
        </w:rPr>
        <w:t>外部接口</w:t>
      </w:r>
      <w:bookmarkEnd w:id="11"/>
    </w:p>
    <w:p>
      <w:pPr>
        <w:pStyle w:val="1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表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表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 xml:space="preserve"> 导引</w:t>
      </w:r>
      <w:r>
        <w:rPr>
          <w:rFonts w:hint="eastAsia"/>
          <w:lang w:val="en-US" w:eastAsia="zh-CN"/>
        </w:rPr>
        <w:t>模块</w:t>
      </w:r>
      <w:r>
        <w:rPr>
          <w:rFonts w:hint="eastAsia"/>
          <w:lang w:eastAsia="zh-CN"/>
        </w:rPr>
        <w:t>外部接口</w:t>
      </w:r>
    </w:p>
    <w:tbl>
      <w:tblPr>
        <w:tblStyle w:val="31"/>
        <w:tblpPr w:leftFromText="180" w:rightFromText="180" w:vertAnchor="text" w:horzAnchor="margin" w:tblpXSpec="center" w:tblpY="17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2393"/>
        <w:gridCol w:w="4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" w:hRule="atLeast"/>
        </w:trPr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编号</w:t>
            </w:r>
          </w:p>
        </w:tc>
        <w:tc>
          <w:tcPr>
            <w:tcW w:w="2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标准接口</w:t>
            </w:r>
          </w:p>
        </w:tc>
        <w:tc>
          <w:tcPr>
            <w:tcW w:w="4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96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39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脚踏开关</w:t>
            </w:r>
          </w:p>
        </w:tc>
        <w:tc>
          <w:tcPr>
            <w:tcW w:w="4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脚踏信号接口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96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39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USB</w:t>
            </w:r>
          </w:p>
        </w:tc>
        <w:tc>
          <w:tcPr>
            <w:tcW w:w="4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外部接入设备接口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96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39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网口</w:t>
            </w:r>
          </w:p>
        </w:tc>
        <w:tc>
          <w:tcPr>
            <w:tcW w:w="4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通讯网口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96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39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网口</w:t>
            </w:r>
          </w:p>
        </w:tc>
        <w:tc>
          <w:tcPr>
            <w:tcW w:w="4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通讯网口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964" w:type="dxa"/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5 </w:t>
            </w:r>
          </w:p>
        </w:tc>
        <w:tc>
          <w:tcPr>
            <w:tcW w:w="239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220V网电源接口</w:t>
            </w:r>
          </w:p>
        </w:tc>
        <w:tc>
          <w:tcPr>
            <w:tcW w:w="418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电源线接口</w:t>
            </w:r>
          </w:p>
        </w:tc>
      </w:tr>
    </w:tbl>
    <w:p/>
    <w:p>
      <w:pPr>
        <w:pStyle w:val="3"/>
        <w:numPr>
          <w:ilvl w:val="0"/>
          <w:numId w:val="2"/>
        </w:numPr>
        <w:spacing w:before="312" w:after="312"/>
      </w:pPr>
      <w:bookmarkStart w:id="12" w:name="_Toc18641"/>
      <w:r>
        <w:rPr>
          <w:rFonts w:hint="eastAsia"/>
          <w:lang w:val="en-US" w:eastAsia="zh-CN"/>
        </w:rPr>
        <w:t>外观造型设计</w:t>
      </w:r>
      <w:bookmarkEnd w:id="12"/>
    </w:p>
    <w:p>
      <w:pPr>
        <w:pStyle w:val="4"/>
        <w:spacing w:before="156" w:after="156"/>
      </w:pPr>
      <w:bookmarkStart w:id="13" w:name="_Toc32619"/>
      <w:r>
        <w:rPr>
          <w:rFonts w:hint="eastAsia"/>
          <w:lang w:val="en-US" w:eastAsia="zh-CN"/>
        </w:rPr>
        <w:t>造型设计</w:t>
      </w:r>
      <w:bookmarkEnd w:id="13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导引模块外观造型设计以科技、简约、专业角度出发，并结合人机工程、人机交互方面的应用需求，整体采用圆润的曲线造型为主体，在主体四周分别设置用以指示设备运行状态的彩色灯条，将显示器、键盘、鼠标等有效改善、提升人机交互效率的设备添加至产品本体，并设置在合适的安装高度。台车底部设有可以滚动的滚轮，方便台车设备移动。</w:t>
      </w:r>
    </w:p>
    <w:p>
      <w:pPr>
        <w:pStyle w:val="13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外观造型设计表</w:t>
      </w:r>
    </w:p>
    <w:tbl>
      <w:tblPr>
        <w:tblStyle w:val="31"/>
        <w:tblW w:w="4999" w:type="pct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70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75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外观结构</w:t>
            </w:r>
          </w:p>
        </w:tc>
        <w:tc>
          <w:tcPr>
            <w:tcW w:w="424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6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滚轮、台车主体、显示器、鼠标、键盘、电源开关按钮、外部接口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75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表面工艺</w:t>
            </w:r>
          </w:p>
        </w:tc>
        <w:tc>
          <w:tcPr>
            <w:tcW w:w="424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6"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喷漆、哑光，主色白色，兼色灰色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75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6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文字</w:t>
            </w:r>
          </w:p>
        </w:tc>
        <w:tc>
          <w:tcPr>
            <w:tcW w:w="424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6"/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丝印或激光雕刻</w:t>
            </w:r>
          </w:p>
        </w:tc>
      </w:tr>
    </w:tbl>
    <w:p>
      <w:pPr>
        <w:pStyle w:val="13"/>
        <w:jc w:val="both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312" w:after="312"/>
      </w:pPr>
      <w:bookmarkStart w:id="14" w:name="_Toc24145"/>
      <w:r>
        <w:rPr>
          <w:rFonts w:hint="eastAsia"/>
          <w:lang w:val="en-US" w:eastAsia="zh-CN"/>
        </w:rPr>
        <w:t>整机结构设计</w:t>
      </w:r>
      <w:bookmarkEnd w:id="14"/>
    </w:p>
    <w:p>
      <w:pPr>
        <w:pStyle w:val="4"/>
        <w:spacing w:before="156" w:after="156"/>
      </w:pPr>
      <w:bookmarkStart w:id="15" w:name="_Toc30516"/>
      <w:r>
        <w:rPr>
          <w:rFonts w:hint="eastAsia"/>
          <w:lang w:val="en-US" w:eastAsia="zh-CN"/>
        </w:rPr>
        <w:t>整机结构组成</w:t>
      </w:r>
      <w:bookmarkEnd w:id="15"/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导引模块由手术导引软件、机械臂、体位固定装置、显示器、计算机主机组成。    </w:t>
      </w:r>
    </w:p>
    <w:p>
      <w:pPr>
        <w:pStyle w:val="4"/>
        <w:spacing w:before="156" w:after="156"/>
      </w:pPr>
      <w:bookmarkStart w:id="16" w:name="_Toc4796"/>
      <w:r>
        <w:rPr>
          <w:rFonts w:hint="eastAsia"/>
          <w:lang w:val="en-US" w:eastAsia="zh-CN"/>
        </w:rPr>
        <w:t>整机结构组成</w:t>
      </w:r>
      <w:bookmarkEnd w:id="16"/>
    </w:p>
    <w:p>
      <w:pPr>
        <w:jc w:val="center"/>
      </w:pP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导引模块结构组成如下表所示：</w:t>
      </w:r>
    </w:p>
    <w:p>
      <w:pPr>
        <w:pStyle w:val="1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表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表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 xml:space="preserve"> 导引</w:t>
      </w:r>
      <w:r>
        <w:rPr>
          <w:rFonts w:hint="eastAsia"/>
          <w:lang w:val="en-US" w:eastAsia="zh-CN"/>
        </w:rPr>
        <w:t>模块</w:t>
      </w:r>
      <w:r>
        <w:rPr>
          <w:rFonts w:hint="eastAsia"/>
          <w:lang w:eastAsia="zh-CN"/>
        </w:rPr>
        <w:t>结构</w:t>
      </w:r>
      <w:r>
        <w:rPr>
          <w:rFonts w:hint="eastAsia"/>
          <w:lang w:val="en-US" w:eastAsia="zh-CN"/>
        </w:rPr>
        <w:t>说明</w:t>
      </w:r>
    </w:p>
    <w:tbl>
      <w:tblPr>
        <w:tblStyle w:val="31"/>
        <w:tblpPr w:leftFromText="180" w:rightFromText="180" w:vertAnchor="text" w:horzAnchor="margin" w:tblpXSpec="center" w:tblpY="17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2089"/>
        <w:gridCol w:w="4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" w:hRule="atLeast"/>
          <w:jc w:val="center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编号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val="en-US" w:eastAsia="zh-CN"/>
              </w:rPr>
              <w:t>部件名称</w:t>
            </w:r>
          </w:p>
        </w:tc>
        <w:tc>
          <w:tcPr>
            <w:tcW w:w="4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7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08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升降立柱</w:t>
            </w:r>
          </w:p>
        </w:tc>
        <w:tc>
          <w:tcPr>
            <w:tcW w:w="46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outlineLvl w:val="9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由升降立柱及法兰组成，位于台车底部，用于台车升降控制。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7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08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侧面板</w:t>
            </w:r>
          </w:p>
        </w:tc>
        <w:tc>
          <w:tcPr>
            <w:tcW w:w="46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由侧面板及接口、按钮组成，位于台车侧面，用于控制系统的开关及输入输出。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7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08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支撑框架</w:t>
            </w:r>
          </w:p>
        </w:tc>
        <w:tc>
          <w:tcPr>
            <w:tcW w:w="46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由焊接框架、支撑板、主机等电子元器件组成，位于台车内部，用于支撑台车，同时固定安置各零部件等。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1" w:hRule="atLeast"/>
          <w:jc w:val="center"/>
        </w:trPr>
        <w:tc>
          <w:tcPr>
            <w:tcW w:w="7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08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 w:bidi="ar-SA"/>
              </w:rPr>
              <w:t>主控面板</w:t>
            </w:r>
          </w:p>
        </w:tc>
        <w:tc>
          <w:tcPr>
            <w:tcW w:w="46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outlineLvl w:val="9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由显示、鼠标键盘及按钮等组成，位于台车上方左侧，用于骨科导引系统控制，输入输出等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8" w:hRule="atLeast"/>
          <w:jc w:val="center"/>
        </w:trPr>
        <w:tc>
          <w:tcPr>
            <w:tcW w:w="7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5 </w:t>
            </w:r>
          </w:p>
        </w:tc>
        <w:tc>
          <w:tcPr>
            <w:tcW w:w="208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外壳</w:t>
            </w:r>
          </w:p>
        </w:tc>
        <w:tc>
          <w:tcPr>
            <w:tcW w:w="46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outlineLvl w:val="9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位于台车最外层，用于台车外观及保护内部零部件等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5" w:hRule="atLeast"/>
          <w:jc w:val="center"/>
        </w:trPr>
        <w:tc>
          <w:tcPr>
            <w:tcW w:w="7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208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激光体位监测装置</w:t>
            </w:r>
          </w:p>
        </w:tc>
        <w:tc>
          <w:tcPr>
            <w:tcW w:w="46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位于台车最顶部，可通过支撑杆调节高度及角度，用于手术过程中的激光体位监测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760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2089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机械臂</w:t>
            </w:r>
          </w:p>
        </w:tc>
        <w:tc>
          <w:tcPr>
            <w:tcW w:w="468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位于台车上方右侧，用于手术导引系统的定位。</w:t>
            </w:r>
          </w:p>
        </w:tc>
      </w:tr>
    </w:tbl>
    <w:p>
      <w:pPr>
        <w:pStyle w:val="13"/>
        <w:jc w:val="both"/>
        <w:rPr>
          <w:rFonts w:hint="eastAsia" w:asciiTheme="minorEastAsia" w:hAnsiTheme="minorEastAsia" w:eastAsiaTheme="minorEastAsia" w:cstheme="minorEastAsia"/>
          <w:sz w:val="21"/>
          <w:szCs w:val="28"/>
          <w:lang w:eastAsia="zh-CN"/>
        </w:rPr>
      </w:pPr>
    </w:p>
    <w:p>
      <w:pPr>
        <w:pStyle w:val="4"/>
        <w:spacing w:before="156" w:after="156"/>
      </w:pPr>
      <w:bookmarkStart w:id="17" w:name="_Toc14528"/>
      <w:r>
        <w:rPr>
          <w:rFonts w:hint="eastAsia"/>
          <w:lang w:val="en-US" w:eastAsia="zh-CN"/>
        </w:rPr>
        <w:t>选型设计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</w:pPr>
      <w:r>
        <w:rPr>
          <w:rFonts w:hint="eastAsia"/>
          <w:lang w:val="en-US" w:eastAsia="zh-CN"/>
        </w:rPr>
        <w:t>导引模块关键元器件为机械臂和升降立柱，机械臂初步选型为UR5协作机器人；升降立柱选用医用的升降立柱，承载不小于400kg，行程不小于50mm。</w:t>
      </w: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spacing w:before="312" w:after="312"/>
      </w:pPr>
      <w:bookmarkStart w:id="18" w:name="_Toc6990"/>
      <w:r>
        <w:rPr>
          <w:rFonts w:hint="eastAsia"/>
          <w:lang w:val="en-US" w:eastAsia="zh-CN"/>
        </w:rPr>
        <w:t>人机交互设计</w:t>
      </w:r>
      <w:bookmarkEnd w:id="18"/>
    </w:p>
    <w:p>
      <w:pPr>
        <w:pStyle w:val="1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表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表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 xml:space="preserve"> 人机交互说明</w:t>
      </w:r>
    </w:p>
    <w:tbl>
      <w:tblPr>
        <w:tblStyle w:val="31"/>
        <w:tblpPr w:leftFromText="180" w:rightFromText="180" w:vertAnchor="text" w:horzAnchor="margin" w:tblpXSpec="center" w:tblpY="17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693"/>
        <w:gridCol w:w="4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" w:hRule="atLeast"/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5"/>
              <w:snapToGrid w:val="0"/>
              <w:spacing w:line="240" w:lineRule="auto"/>
              <w:ind w:firstLine="0" w:firstLineChars="0"/>
              <w:jc w:val="center"/>
              <w:outlineLvl w:val="9"/>
              <w:rPr>
                <w:rFonts w:ascii="宋体" w:hAnsi="宋体" w:cs="Times New Roman"/>
                <w:b/>
                <w:color w:val="auto"/>
                <w:sz w:val="21"/>
                <w:szCs w:val="21"/>
              </w:rPr>
            </w:pPr>
            <w:r>
              <w:rPr>
                <w:rFonts w:ascii="宋体" w:hAnsi="宋体" w:cs="Times New Roman"/>
                <w:b/>
                <w:color w:val="auto"/>
                <w:sz w:val="21"/>
                <w:szCs w:val="21"/>
              </w:rPr>
              <w:t>编号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5"/>
              <w:snapToGrid w:val="0"/>
              <w:spacing w:line="240" w:lineRule="auto"/>
              <w:ind w:firstLine="0" w:firstLineChars="0"/>
              <w:jc w:val="center"/>
              <w:outlineLvl w:val="9"/>
              <w:rPr>
                <w:rFonts w:hint="default" w:ascii="宋体" w:hAnsi="宋体" w:eastAsia="宋体" w:cs="Times New Roman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b/>
                <w:color w:val="auto"/>
                <w:sz w:val="21"/>
                <w:szCs w:val="21"/>
                <w:lang w:val="en-US" w:eastAsia="zh-CN"/>
              </w:rPr>
              <w:t>部件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outlineLvl w:val="9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846" w:type="dxa"/>
            <w:noWrap w:val="0"/>
            <w:vAlign w:val="center"/>
          </w:tcPr>
          <w:p>
            <w:pPr>
              <w:pStyle w:val="45"/>
              <w:snapToGrid w:val="0"/>
              <w:spacing w:line="240" w:lineRule="auto"/>
              <w:ind w:firstLine="0" w:firstLineChars="0"/>
              <w:jc w:val="center"/>
              <w:outlineLvl w:val="9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93" w:type="dxa"/>
            <w:noWrap w:val="0"/>
            <w:vAlign w:val="center"/>
          </w:tcPr>
          <w:p>
            <w:pPr>
              <w:pStyle w:val="45"/>
              <w:snapToGrid w:val="0"/>
              <w:spacing w:line="240" w:lineRule="auto"/>
              <w:ind w:firstLine="0" w:firstLineChars="0"/>
              <w:jc w:val="center"/>
              <w:outlineLvl w:val="9"/>
              <w:rPr>
                <w:rFonts w:hint="default" w:ascii="宋体" w:hAnsi="宋体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 w:bidi="ar-SA"/>
              </w:rPr>
              <w:t>鼠标</w:t>
            </w:r>
          </w:p>
        </w:tc>
        <w:tc>
          <w:tcPr>
            <w:tcW w:w="4998" w:type="dxa"/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outlineLvl w:val="9"/>
              <w:rPr>
                <w:rFonts w:hint="default" w:ascii="宋体" w:hAnsi="宋体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用于系统控制，选用符合人体工学的鼠标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846" w:type="dxa"/>
            <w:noWrap w:val="0"/>
            <w:vAlign w:val="center"/>
          </w:tcPr>
          <w:p>
            <w:pPr>
              <w:pStyle w:val="45"/>
              <w:snapToGrid w:val="0"/>
              <w:spacing w:line="240" w:lineRule="auto"/>
              <w:ind w:firstLine="0" w:firstLineChars="0"/>
              <w:jc w:val="center"/>
              <w:outlineLvl w:val="9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93" w:type="dxa"/>
            <w:noWrap w:val="0"/>
            <w:vAlign w:val="center"/>
          </w:tcPr>
          <w:p>
            <w:pPr>
              <w:pStyle w:val="45"/>
              <w:snapToGrid w:val="0"/>
              <w:spacing w:line="240" w:lineRule="auto"/>
              <w:ind w:firstLine="0" w:firstLineChars="0"/>
              <w:jc w:val="center"/>
              <w:outlineLvl w:val="9"/>
              <w:rPr>
                <w:rFonts w:hint="default" w:ascii="宋体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  <w:t>键盘</w:t>
            </w:r>
          </w:p>
        </w:tc>
        <w:tc>
          <w:tcPr>
            <w:tcW w:w="4998" w:type="dxa"/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outlineLvl w:val="9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用于系统控制，选用符合人体工学的键盘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atLeast"/>
          <w:jc w:val="center"/>
        </w:trPr>
        <w:tc>
          <w:tcPr>
            <w:tcW w:w="846" w:type="dxa"/>
            <w:noWrap w:val="0"/>
            <w:vAlign w:val="center"/>
          </w:tcPr>
          <w:p>
            <w:pPr>
              <w:pStyle w:val="45"/>
              <w:snapToGrid w:val="0"/>
              <w:spacing w:line="240" w:lineRule="auto"/>
              <w:ind w:firstLine="0" w:firstLineChars="0"/>
              <w:jc w:val="center"/>
              <w:outlineLvl w:val="9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93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脚踏开关</w:t>
            </w:r>
          </w:p>
        </w:tc>
        <w:tc>
          <w:tcPr>
            <w:tcW w:w="4998" w:type="dxa"/>
            <w:noWrap w:val="0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脚踏信号接口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846" w:type="dxa"/>
            <w:noWrap w:val="0"/>
            <w:vAlign w:val="center"/>
          </w:tcPr>
          <w:p>
            <w:pPr>
              <w:pStyle w:val="45"/>
              <w:snapToGrid w:val="0"/>
              <w:spacing w:line="240" w:lineRule="auto"/>
              <w:ind w:firstLine="0" w:firstLineChars="0"/>
              <w:jc w:val="center"/>
              <w:outlineLvl w:val="9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693" w:type="dxa"/>
            <w:noWrap w:val="0"/>
            <w:vAlign w:val="center"/>
          </w:tcPr>
          <w:p>
            <w:pPr>
              <w:pStyle w:val="45"/>
              <w:snapToGrid w:val="0"/>
              <w:spacing w:line="240" w:lineRule="auto"/>
              <w:ind w:firstLine="0" w:firstLineChars="0"/>
              <w:jc w:val="center"/>
              <w:outlineLvl w:val="9"/>
              <w:rPr>
                <w:rFonts w:hint="default" w:ascii="宋体" w:hAnsi="宋体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  <w:t>主控面板</w:t>
            </w:r>
          </w:p>
        </w:tc>
        <w:tc>
          <w:tcPr>
            <w:tcW w:w="4998" w:type="dxa"/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outlineLvl w:val="9"/>
              <w:rPr>
                <w:rFonts w:hint="default" w:ascii="宋体" w:hAnsi="宋体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  <w:t>用于系统控制、显示器支撑，设计为可旋转调节角度</w:t>
            </w:r>
          </w:p>
        </w:tc>
      </w:tr>
    </w:tbl>
    <w:p>
      <w:pPr>
        <w:pStyle w:val="13"/>
        <w:jc w:val="both"/>
        <w:rPr>
          <w:rFonts w:hint="eastAsia" w:asciiTheme="minorEastAsia" w:hAnsiTheme="minorEastAsia" w:eastAsiaTheme="minorEastAsia" w:cstheme="minorEastAsia"/>
          <w:sz w:val="21"/>
          <w:szCs w:val="28"/>
          <w:lang w:eastAsia="zh-CN"/>
        </w:rPr>
      </w:pPr>
    </w:p>
    <w:p>
      <w:pPr>
        <w:pStyle w:val="3"/>
        <w:numPr>
          <w:ilvl w:val="0"/>
          <w:numId w:val="2"/>
        </w:numPr>
        <w:spacing w:before="312" w:after="312"/>
      </w:pPr>
      <w:bookmarkStart w:id="19" w:name="_Toc31366"/>
      <w:r>
        <w:rPr>
          <w:rFonts w:hint="eastAsia"/>
          <w:lang w:val="en-US" w:eastAsia="zh-CN"/>
        </w:rPr>
        <w:t>电磁兼容设计</w:t>
      </w:r>
      <w:bookmarkEnd w:id="19"/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20" w:name="_Toc31267"/>
      <w:r>
        <w:rPr>
          <w:rFonts w:hint="eastAsia"/>
          <w:lang w:val="en-US" w:eastAsia="zh-CN"/>
        </w:rPr>
        <w:t>屏蔽设计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塑料外壳内部喷涂金属漆，从而通过吸收、反射、抵消三种效应，削弱干扰电磁波；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散热网孔处粘贴屏蔽网。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21" w:name="_Toc19887"/>
      <w:r>
        <w:rPr>
          <w:rFonts w:hint="eastAsia"/>
          <w:lang w:val="en-US" w:eastAsia="zh-CN"/>
        </w:rPr>
        <w:t>滤波设计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210" w:firstLineChars="100"/>
        <w:textAlignment w:val="auto"/>
        <w:outlineLvl w:val="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选择带有滤波功能的电源开关。</w:t>
      </w:r>
    </w:p>
    <w:p>
      <w:pPr>
        <w:pStyle w:val="3"/>
        <w:numPr>
          <w:ilvl w:val="0"/>
          <w:numId w:val="2"/>
        </w:numPr>
        <w:spacing w:before="312" w:after="312"/>
      </w:pPr>
      <w:bookmarkStart w:id="22" w:name="_Toc7510"/>
      <w:r>
        <w:rPr>
          <w:rFonts w:hint="eastAsia"/>
          <w:lang w:val="en-US" w:eastAsia="zh-CN"/>
        </w:rPr>
        <w:t>接地及防静电设计</w:t>
      </w:r>
      <w:bookmarkEnd w:id="22"/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23" w:name="_Toc19246"/>
      <w:r>
        <w:rPr>
          <w:rFonts w:hint="eastAsia"/>
          <w:lang w:val="en-US" w:eastAsia="zh-CN"/>
        </w:rPr>
        <w:t>接地设计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将屏蔽体接地，使屏蔽发挥作用；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将滤波器接地，使滤波器起到抑制共模干扰的作用；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建议与大地相连的低阻抗相连；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设备或系统的各部分都连接到一个公共点或等位面；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24" w:name="_Toc14379"/>
      <w:r>
        <w:rPr>
          <w:rFonts w:hint="eastAsia"/>
          <w:lang w:val="en-US" w:eastAsia="zh-CN"/>
        </w:rPr>
        <w:t>防静电设计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对显示器采用外壳全包覆设计，材质选用绝缘性能较好的材质</w:t>
      </w:r>
    </w:p>
    <w:p>
      <w:pPr>
        <w:pStyle w:val="3"/>
        <w:numPr>
          <w:ilvl w:val="0"/>
          <w:numId w:val="2"/>
        </w:numPr>
        <w:spacing w:before="312" w:after="312"/>
        <w:rPr>
          <w:rFonts w:hint="default"/>
          <w:lang w:val="en-US" w:eastAsia="zh-CN"/>
        </w:rPr>
      </w:pPr>
      <w:bookmarkStart w:id="25" w:name="_Toc26327"/>
      <w:r>
        <w:rPr>
          <w:rFonts w:hint="eastAsia"/>
          <w:lang w:val="en-US" w:eastAsia="zh-CN"/>
        </w:rPr>
        <w:t>散热设计</w:t>
      </w:r>
      <w:bookmarkEnd w:id="25"/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26" w:name="_Toc11869"/>
      <w:r>
        <w:rPr>
          <w:rFonts w:hint="eastAsia"/>
          <w:lang w:val="en-US" w:eastAsia="zh-CN"/>
        </w:rPr>
        <w:t>散热设计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导引模块中，结构分上下两层，热源较多，如机械臂控制箱，UPS，隔离变压器，主机等，通过前后网格的设计使热量散出均匀，达到散热的目的。</w:t>
      </w:r>
    </w:p>
    <w:p>
      <w:pPr>
        <w:pStyle w:val="3"/>
        <w:numPr>
          <w:ilvl w:val="0"/>
          <w:numId w:val="2"/>
        </w:numPr>
        <w:spacing w:before="312" w:after="312"/>
        <w:rPr>
          <w:rFonts w:hint="eastAsia"/>
          <w:lang w:val="en-US" w:eastAsia="zh-CN"/>
        </w:rPr>
      </w:pPr>
      <w:bookmarkStart w:id="27" w:name="_Toc32735"/>
      <w:r>
        <w:rPr>
          <w:rFonts w:hint="eastAsia"/>
          <w:lang w:val="en-US" w:eastAsia="zh-CN"/>
        </w:rPr>
        <w:t>检修维护及保护性设计</w:t>
      </w:r>
      <w:bookmarkEnd w:id="27"/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28" w:name="_Toc27400"/>
      <w:r>
        <w:rPr>
          <w:rFonts w:hint="eastAsia"/>
          <w:lang w:val="en-US" w:eastAsia="zh-CN"/>
        </w:rPr>
        <w:t>运输包装设计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导引模块中，台车均使用木箱包装，机械臂，显示器及激光体位监测装置包单独使用纸箱包装；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台车木箱包装中，内部使用珍珠棉起到减震，防刮碰的作用；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台车木箱底下使用木托，方便运输搬运。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其余包装设计详见包装设计方案。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29" w:name="_Toc17070"/>
      <w:r>
        <w:rPr>
          <w:rFonts w:hint="eastAsia"/>
          <w:lang w:val="en-US" w:eastAsia="zh-CN"/>
        </w:rPr>
        <w:t>检修维护设计</w:t>
      </w:r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外壳设计，设置检修盖，拆开检修盖，就可以看到导引模块关键的线路和重要的内部零部件，方便检修。</w:t>
      </w:r>
    </w:p>
    <w:p>
      <w:pPr>
        <w:pStyle w:val="3"/>
        <w:numPr>
          <w:ilvl w:val="0"/>
          <w:numId w:val="2"/>
        </w:numPr>
        <w:spacing w:before="312" w:after="312"/>
      </w:pPr>
      <w:bookmarkStart w:id="30" w:name="_Toc1997"/>
      <w:r>
        <w:rPr>
          <w:rFonts w:hint="eastAsia"/>
          <w:lang w:val="en-US" w:eastAsia="zh-CN"/>
        </w:rPr>
        <w:t>总结</w:t>
      </w:r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通过对该台车各功能需求分析后，经过外观造型设计、结构设计、电磁兼容与防静电设计、通风散热设计后，完成结构的概要设计。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其中，并针对要求中的主机、显示器此类影响人机交互的组件，综合考虑产品结构、外观造型、设备质量、产品性能、散热等因素，针对性做了产品选型。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产品各组件搭建完成后，针对该产品的现实运行环境潜在的强电磁场和静电防护方面的要求，分别在该产品中添加了抗电磁干扰和防静电措施，而且选择具备滤波功能的电源开关，从源头和传递过程中降低外界影响因素对该台车的影响，从台车自体稳定性方面提高了设备运行稳定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在完成以上系统搭建后针对潜在的通风散热问题进行评估，并做了适当的散热措施，以保证产品内部运行环境温度。</w:t>
      </w:r>
    </w:p>
    <w:p>
      <w:pPr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经过以上概要设计，为后续的详细设计奠定基础。</w:t>
      </w: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29" w:usb3="00000000" w:csb0="0001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  <w: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185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391D121"/>
    <w:multiLevelType w:val="singleLevel"/>
    <w:tmpl w:val="0391D12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33E1BF84"/>
    <w:multiLevelType w:val="singleLevel"/>
    <w:tmpl w:val="33E1BF8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F6F26E8"/>
    <w:multiLevelType w:val="singleLevel"/>
    <w:tmpl w:val="5F6F26E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040A7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3DC63F8"/>
    <w:rsid w:val="06856B77"/>
    <w:rsid w:val="084819EA"/>
    <w:rsid w:val="094B310F"/>
    <w:rsid w:val="0A5238BD"/>
    <w:rsid w:val="0D561BEA"/>
    <w:rsid w:val="0DF920FC"/>
    <w:rsid w:val="0F43421D"/>
    <w:rsid w:val="102437C2"/>
    <w:rsid w:val="10FA1D75"/>
    <w:rsid w:val="118113F9"/>
    <w:rsid w:val="15CB75BE"/>
    <w:rsid w:val="16444FD4"/>
    <w:rsid w:val="179A2ED5"/>
    <w:rsid w:val="19333F91"/>
    <w:rsid w:val="195A7F38"/>
    <w:rsid w:val="19742911"/>
    <w:rsid w:val="19CE2367"/>
    <w:rsid w:val="1A442393"/>
    <w:rsid w:val="1C2F6B5F"/>
    <w:rsid w:val="1EFA772E"/>
    <w:rsid w:val="213557F9"/>
    <w:rsid w:val="214C67BE"/>
    <w:rsid w:val="228C79CF"/>
    <w:rsid w:val="23857742"/>
    <w:rsid w:val="23D1375E"/>
    <w:rsid w:val="23F52FDE"/>
    <w:rsid w:val="241208EF"/>
    <w:rsid w:val="29754096"/>
    <w:rsid w:val="29815EED"/>
    <w:rsid w:val="2FD15513"/>
    <w:rsid w:val="30F30B8C"/>
    <w:rsid w:val="32C33D6A"/>
    <w:rsid w:val="33C35BAA"/>
    <w:rsid w:val="35E3357B"/>
    <w:rsid w:val="35F052E2"/>
    <w:rsid w:val="387F4B11"/>
    <w:rsid w:val="3C0A4B97"/>
    <w:rsid w:val="3E1814DB"/>
    <w:rsid w:val="40B03CFF"/>
    <w:rsid w:val="41A038B5"/>
    <w:rsid w:val="43101201"/>
    <w:rsid w:val="445F1BD1"/>
    <w:rsid w:val="446328D6"/>
    <w:rsid w:val="44AC47A4"/>
    <w:rsid w:val="45170D3A"/>
    <w:rsid w:val="46DE0780"/>
    <w:rsid w:val="498373DA"/>
    <w:rsid w:val="4AD53E5C"/>
    <w:rsid w:val="4B6D6660"/>
    <w:rsid w:val="4CBE6382"/>
    <w:rsid w:val="4D9B0F0A"/>
    <w:rsid w:val="4EE97C5E"/>
    <w:rsid w:val="51A85383"/>
    <w:rsid w:val="51BD2298"/>
    <w:rsid w:val="54632A51"/>
    <w:rsid w:val="552D5FC7"/>
    <w:rsid w:val="569024D2"/>
    <w:rsid w:val="58C615BD"/>
    <w:rsid w:val="5B06379F"/>
    <w:rsid w:val="631A6DFA"/>
    <w:rsid w:val="66336C28"/>
    <w:rsid w:val="6636079B"/>
    <w:rsid w:val="66910742"/>
    <w:rsid w:val="66EA0F89"/>
    <w:rsid w:val="6A28193F"/>
    <w:rsid w:val="6A491A41"/>
    <w:rsid w:val="6DB2098C"/>
    <w:rsid w:val="6FAB1612"/>
    <w:rsid w:val="733D0BF7"/>
    <w:rsid w:val="73C25D43"/>
    <w:rsid w:val="76824E15"/>
    <w:rsid w:val="76E0667F"/>
    <w:rsid w:val="787F3261"/>
    <w:rsid w:val="7991665B"/>
    <w:rsid w:val="79F45500"/>
    <w:rsid w:val="7A917F70"/>
    <w:rsid w:val="7D70484C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semiHidden/>
    <w:unhideWhenUsed/>
    <w:qFormat/>
    <w:uiPriority w:val="35"/>
    <w:pPr>
      <w:spacing w:before="50" w:line="240" w:lineRule="auto"/>
    </w:pPr>
    <w:rPr>
      <w:rFonts w:ascii="Arial" w:hAnsi="Arial" w:eastAsia="黑体"/>
      <w:sz w:val="20"/>
    </w:rPr>
  </w:style>
  <w:style w:type="paragraph" w:styleId="14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line="240" w:lineRule="auto"/>
    </w:p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5"/>
    <w:next w:val="15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6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5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4"/>
    <w:semiHidden/>
    <w:qFormat/>
    <w:uiPriority w:val="99"/>
    <w:rPr>
      <w:rFonts w:ascii="宋体" w:hAnsi="Arial" w:cs="Arial"/>
      <w:kern w:val="2"/>
      <w:sz w:val="18"/>
      <w:szCs w:val="18"/>
    </w:rPr>
  </w:style>
  <w:style w:type="character" w:customStyle="1" w:styleId="44">
    <w:name w:val="font41"/>
    <w:basedOn w:val="33"/>
    <w:qFormat/>
    <w:uiPriority w:val="0"/>
    <w:rPr>
      <w:rFonts w:ascii="Arial" w:hAnsi="Arial" w:cs="Arial"/>
      <w:color w:val="000000"/>
      <w:sz w:val="28"/>
      <w:szCs w:val="28"/>
      <w:u w:val="none"/>
    </w:rPr>
  </w:style>
  <w:style w:type="paragraph" w:customStyle="1" w:styleId="45">
    <w:name w:val="王奕，内文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MS Shell Dlg"/>
      <w:color w:val="000000"/>
      <w:lang w:val="en-US" w:eastAsia="zh-CN" w:bidi="ar-SA"/>
    </w:rPr>
  </w:style>
  <w:style w:type="paragraph" w:customStyle="1" w:styleId="46">
    <w:name w:val="图表"/>
    <w:basedOn w:val="1"/>
    <w:qFormat/>
    <w:uiPriority w:val="0"/>
    <w:pPr>
      <w:spacing w:line="240" w:lineRule="auto"/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8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13</Pages>
  <Words>3849</Words>
  <Characters>4415</Characters>
  <Lines>3</Lines>
  <Paragraphs>1</Paragraphs>
  <TotalTime>2</TotalTime>
  <ScaleCrop>false</ScaleCrop>
  <LinksUpToDate>false</LinksUpToDate>
  <CharactersWithSpaces>4532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2021-10-13T01:27:00Z</cp:lastPrinted>
  <dcterms:modified xsi:type="dcterms:W3CDTF">2023-01-04T01:55:40Z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095250D1E59C4BE08F2C5D487AC941A5</vt:lpwstr>
  </property>
</Properties>
</file>