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ind w:firstLine="422"/>
        <w:jc w:val="right"/>
        <w:rPr>
          <w:rFonts w:ascii="宋体" w:hAnsi="宋体" w:cs="宋体"/>
          <w:b w:val="0"/>
          <w:bCs/>
          <w:kern w:val="0"/>
          <w:szCs w:val="21"/>
        </w:rPr>
      </w:pPr>
      <w:r>
        <w:rPr>
          <w:rFonts w:hint="eastAsia" w:ascii="宋体" w:hAnsi="宋体" w:cs="宋体"/>
          <w:b w:val="0"/>
          <w:bCs/>
          <w:kern w:val="0"/>
          <w:szCs w:val="21"/>
        </w:rPr>
        <w:t>MS001-A.01.007SM.1.0</w:t>
      </w:r>
    </w:p>
    <w:p>
      <w:pPr>
        <w:spacing w:before="156" w:after="156" w:line="240" w:lineRule="auto"/>
        <w:ind w:firstLine="422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23.75pt;margin-top:13.8pt;height:118.35pt;width:370.6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ind w:left="0" w:leftChars="0" w:firstLine="0" w:firstLineChars="0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ind w:left="0" w:leftChars="0" w:firstLine="0" w:firstLineChars="0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</w:rPr>
                    <w:t>规划模块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40.65pt;margin-top:18.1pt;height:60.6pt;width:434.25pt;z-index:251663360;mso-width-relative:page;mso-height-relative:page;" filled="f" stroked="f" coordsize="21600,21600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ind w:firstLine="1120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</w:rPr>
                    <w:t>焊接框架应力分析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ind w:firstLine="482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ind w:firstLine="1044"/>
        <w:rPr>
          <w:rFonts w:ascii="宋体" w:hAnsi="宋体" w:cs="宋体"/>
          <w:b/>
          <w:sz w:val="52"/>
        </w:rPr>
      </w:pPr>
    </w:p>
    <w:p>
      <w:pPr>
        <w:spacing w:before="156" w:after="156"/>
        <w:ind w:firstLine="1044"/>
        <w:rPr>
          <w:rFonts w:ascii="宋体" w:hAnsi="宋体" w:cs="宋体"/>
          <w:b/>
          <w:sz w:val="52"/>
        </w:rPr>
      </w:pPr>
    </w:p>
    <w:p>
      <w:pPr>
        <w:spacing w:before="156" w:after="156"/>
        <w:ind w:firstLine="480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ind w:firstLine="480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2133"/>
        <w:gridCol w:w="3292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213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329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6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ind w:firstLine="1044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_Toc24980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1. 概述</w:t>
      </w:r>
      <w:r>
        <w:tab/>
      </w:r>
      <w:r>
        <w:fldChar w:fldCharType="begin"/>
      </w:r>
      <w:r>
        <w:instrText xml:space="preserve"> PAGEREF _Toc24980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_Toc29370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2. 材料选用</w:t>
      </w:r>
      <w:r>
        <w:tab/>
      </w:r>
      <w:r>
        <w:fldChar w:fldCharType="begin"/>
      </w:r>
      <w:r>
        <w:instrText xml:space="preserve"> PAGEREF _Toc29370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_Toc29227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3. 负载</w:t>
      </w:r>
      <w:r>
        <w:tab/>
      </w:r>
      <w:r>
        <w:fldChar w:fldCharType="begin"/>
      </w:r>
      <w:r>
        <w:instrText xml:space="preserve"> PAGEREF _Toc29227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_Toc16033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4. 仿真分析结果</w:t>
      </w:r>
      <w:r>
        <w:tab/>
      </w:r>
      <w:r>
        <w:fldChar w:fldCharType="begin"/>
      </w:r>
      <w:r>
        <w:instrText xml:space="preserve"> PAGEREF _Toc16033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_Toc3728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4.1. 条件设置</w:t>
      </w:r>
      <w:r>
        <w:tab/>
      </w:r>
      <w:r>
        <w:fldChar w:fldCharType="begin"/>
      </w:r>
      <w:r>
        <w:instrText xml:space="preserve"> PAGEREF _Toc3728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_Toc32188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4.2. 应力分析结果</w:t>
      </w:r>
      <w:r>
        <w:tab/>
      </w:r>
      <w:r>
        <w:fldChar w:fldCharType="begin"/>
      </w:r>
      <w:r>
        <w:instrText xml:space="preserve"> PAGEREF _Toc32188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_Toc22147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4.3. 位移分析结果</w:t>
      </w:r>
      <w:r>
        <w:tab/>
      </w:r>
      <w:r>
        <w:fldChar w:fldCharType="begin"/>
      </w:r>
      <w:r>
        <w:instrText xml:space="preserve"> PAGEREF _Toc22147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_Toc20413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4.4. 分析结果</w:t>
      </w:r>
      <w:r>
        <w:tab/>
      </w:r>
      <w:r>
        <w:fldChar w:fldCharType="begin"/>
      </w:r>
      <w:r>
        <w:instrText xml:space="preserve"> PAGEREF _Toc20413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_Toc13839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cs="Times New Roman"/>
        </w:rPr>
        <w:t>5. 结论</w:t>
      </w:r>
      <w:r>
        <w:tab/>
      </w:r>
      <w:r>
        <w:fldChar w:fldCharType="begin"/>
      </w:r>
      <w:r>
        <w:instrText xml:space="preserve"> PAGEREF _Toc13839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312" w:after="312"/>
        <w:rPr>
          <w:rFonts w:hint="default" w:ascii="Times New Roman" w:hAnsi="Times New Roman" w:cs="Times New Roman"/>
        </w:rPr>
      </w:pPr>
      <w:bookmarkStart w:id="0" w:name="_Toc24980"/>
      <w:bookmarkStart w:id="1" w:name="_Toc10708"/>
      <w:r>
        <w:rPr>
          <w:rFonts w:hint="default" w:ascii="Times New Roman" w:hAnsi="Times New Roman" w:cs="Times New Roman"/>
        </w:rPr>
        <w:t>概述</w:t>
      </w:r>
      <w:bookmarkEnd w:id="0"/>
      <w:bookmarkEnd w:id="1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规划模块主要由MS001-A框架总成、MS001-A外观总成、MS001-A侧面板总成、MS001-A工作台总成、MS001-A运输包装组成，规划模块主要承重部件是MS001-A焊接框架，主要的零部件均连接于焊接框架上。</w:t>
      </w:r>
    </w:p>
    <w:p>
      <w:pPr>
        <w:spacing w:before="156" w:after="156"/>
        <w:ind w:left="0" w:leftChars="0"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规划模块工作状态主要是静态，不承受除重力以外的外力，只有在移动时承受推力。因此，考虑最恶劣工况，对其作在推力作用下的静应力分析。</w:t>
      </w:r>
    </w:p>
    <w:p>
      <w:pPr>
        <w:pStyle w:val="2"/>
        <w:spacing w:before="312" w:after="312"/>
        <w:rPr>
          <w:rFonts w:hint="default" w:ascii="Times New Roman" w:hAnsi="Times New Roman" w:cs="Times New Roman"/>
        </w:rPr>
      </w:pPr>
      <w:bookmarkStart w:id="2" w:name="_Toc17442"/>
      <w:bookmarkStart w:id="3" w:name="_Toc29370"/>
      <w:r>
        <w:rPr>
          <w:rFonts w:hint="default" w:ascii="Times New Roman" w:hAnsi="Times New Roman" w:cs="Times New Roman"/>
        </w:rPr>
        <w:t>材料选用</w:t>
      </w:r>
      <w:bookmarkEnd w:id="2"/>
      <w:bookmarkEnd w:id="3"/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3044"/>
        <w:gridCol w:w="2023"/>
        <w:gridCol w:w="2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序号</w:t>
            </w:r>
          </w:p>
        </w:tc>
        <w:tc>
          <w:tcPr>
            <w:tcW w:w="1786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名称</w:t>
            </w:r>
          </w:p>
        </w:tc>
        <w:tc>
          <w:tcPr>
            <w:tcW w:w="118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材质</w:t>
            </w:r>
          </w:p>
        </w:tc>
        <w:tc>
          <w:tcPr>
            <w:tcW w:w="138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屈服强度MPa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78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焊接框架</w:t>
            </w:r>
          </w:p>
        </w:tc>
        <w:tc>
          <w:tcPr>
            <w:tcW w:w="118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304不锈钢</w:t>
            </w:r>
          </w:p>
        </w:tc>
        <w:tc>
          <w:tcPr>
            <w:tcW w:w="138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207</w:t>
            </w:r>
          </w:p>
        </w:tc>
      </w:tr>
    </w:tbl>
    <w:p>
      <w:pPr>
        <w:pStyle w:val="2"/>
        <w:spacing w:before="312" w:after="312"/>
        <w:rPr>
          <w:rFonts w:hint="default" w:ascii="Times New Roman" w:hAnsi="Times New Roman" w:cs="Times New Roman"/>
        </w:rPr>
      </w:pPr>
      <w:bookmarkStart w:id="4" w:name="_Toc10099"/>
      <w:bookmarkStart w:id="5" w:name="_Toc29227"/>
      <w:r>
        <w:rPr>
          <w:rFonts w:hint="default" w:ascii="Times New Roman" w:hAnsi="Times New Roman" w:cs="Times New Roman"/>
        </w:rPr>
        <w:t>负载</w:t>
      </w:r>
      <w:bookmarkEnd w:id="4"/>
      <w:bookmarkEnd w:id="5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MS001-A焊接框架主要受的力有重力，以及MS001-A外观总成、MS001-A侧面板总成、MS001-A工作台总成、显示器、主机箱在重力（9.8m/s</w:t>
      </w:r>
      <w:r>
        <w:rPr>
          <w:rFonts w:hint="default" w:ascii="Times New Roman" w:hAnsi="Times New Roman" w:cs="Times New Roman"/>
          <w:vertAlign w:val="superscript"/>
        </w:rPr>
        <w:t>2</w:t>
      </w:r>
      <w:r>
        <w:rPr>
          <w:rFonts w:hint="default" w:ascii="Times New Roman" w:hAnsi="Times New Roman" w:cs="Times New Roman"/>
        </w:rPr>
        <w:t>）作用下施加于该焊接框架的作用力。</w:t>
      </w:r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3428"/>
        <w:gridCol w:w="1855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序号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名称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质量（kg）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作用力（N）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MS001-A外观总成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14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137.2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MS001-A工作台总成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9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88.2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MS001-A 电器组件固定支架及电器组件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显示器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8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78.4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主机箱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6</w:t>
            </w:r>
          </w:p>
        </w:tc>
        <w:tc>
          <w:tcPr>
            <w:tcW w:w="2011" w:type="pct"/>
          </w:tcPr>
          <w:p>
            <w:pPr>
              <w:pStyle w:val="45"/>
              <w:spacing w:before="156" w:after="156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推力（模拟推动状态）</w:t>
            </w:r>
          </w:p>
        </w:tc>
        <w:tc>
          <w:tcPr>
            <w:tcW w:w="1088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/</w:t>
            </w:r>
          </w:p>
        </w:tc>
        <w:tc>
          <w:tcPr>
            <w:tcW w:w="1285" w:type="pct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50</w:t>
            </w:r>
          </w:p>
        </w:tc>
      </w:tr>
    </w:tbl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pStyle w:val="2"/>
        <w:spacing w:before="312" w:after="312"/>
        <w:rPr>
          <w:rFonts w:hint="default" w:ascii="Times New Roman" w:hAnsi="Times New Roman" w:cs="Times New Roman"/>
        </w:rPr>
      </w:pPr>
      <w:bookmarkStart w:id="6" w:name="_Toc16033"/>
      <w:bookmarkStart w:id="7" w:name="_Toc10818"/>
      <w:r>
        <w:rPr>
          <w:rFonts w:hint="default" w:ascii="Times New Roman" w:hAnsi="Times New Roman" w:cs="Times New Roman"/>
        </w:rPr>
        <w:t>仿真分析结果</w:t>
      </w:r>
      <w:bookmarkEnd w:id="6"/>
      <w:bookmarkEnd w:id="7"/>
    </w:p>
    <w:p>
      <w:pPr>
        <w:pStyle w:val="4"/>
        <w:spacing w:before="156" w:after="156"/>
        <w:rPr>
          <w:rFonts w:hint="default" w:ascii="Times New Roman" w:hAnsi="Times New Roman" w:cs="Times New Roman"/>
        </w:rPr>
      </w:pPr>
      <w:bookmarkStart w:id="8" w:name="_Toc3728"/>
      <w:bookmarkStart w:id="9" w:name="_Toc4417"/>
      <w:r>
        <w:rPr>
          <w:rFonts w:hint="default" w:ascii="Times New Roman" w:hAnsi="Times New Roman" w:cs="Times New Roman"/>
        </w:rPr>
        <w:t>条件设置</w:t>
      </w:r>
      <w:bookmarkEnd w:id="8"/>
      <w:bookmarkEnd w:id="9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根据负载情况加载模型负载条件，设置参数如下：</w:t>
      </w:r>
    </w:p>
    <w:p>
      <w:pPr>
        <w:pStyle w:val="45"/>
        <w:spacing w:before="156" w:after="15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23130" cy="3303270"/>
            <wp:effectExtent l="0" t="0" r="1270" b="11430"/>
            <wp:docPr id="1" name="图片 1" descr="规1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规1-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负载设置</w:t>
      </w:r>
    </w:p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pStyle w:val="4"/>
        <w:spacing w:before="156" w:after="156"/>
        <w:rPr>
          <w:rFonts w:hint="default" w:ascii="Times New Roman" w:hAnsi="Times New Roman" w:cs="Times New Roman"/>
        </w:rPr>
      </w:pPr>
      <w:bookmarkStart w:id="10" w:name="_Toc27890"/>
      <w:bookmarkStart w:id="11" w:name="_Toc32188"/>
      <w:r>
        <w:rPr>
          <w:rFonts w:hint="default" w:ascii="Times New Roman" w:hAnsi="Times New Roman" w:cs="Times New Roman"/>
        </w:rPr>
        <w:t>应力分析结果</w:t>
      </w:r>
      <w:bookmarkEnd w:id="10"/>
      <w:bookmarkEnd w:id="11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在2mm网格划分下，计算基本达到收敛，计算所得应力云图如图2所示，其中应力最大值：199.04MPa，分布于与显示器连接部分。</w:t>
      </w:r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应力云图分布情况可知，框架整体应力参数在该材料的屈服强度范围内，表明该材料符合选用要求；同时，除去与显示器连接部分外，其余均在46MPa范围内，表明该框架整体应力较小，只是存在局部应力较大的情况。通过放大该处应力图可知，应力最大点集中于多处网格的共同边界上，并且该最大点恰</w:t>
      </w:r>
      <w:r>
        <w:rPr>
          <w:rFonts w:hint="default" w:ascii="Times New Roman" w:hAnsi="Times New Roman" w:cs="Times New Roman"/>
          <w:lang w:val="en-US" w:eastAsia="zh-CN"/>
        </w:rPr>
        <w:t>好</w:t>
      </w:r>
      <w:r>
        <w:rPr>
          <w:rFonts w:hint="default" w:ascii="Times New Roman" w:hAnsi="Times New Roman" w:cs="Times New Roman"/>
        </w:rPr>
        <w:t>处于实体边线上，可定义为应力奇异点，可以忽略该点处的计算结果。</w:t>
      </w:r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通过以上计算可知，MS001-A焊接框架在使用条件下，框架整体应力均在该材料的屈服强度范围内，不会因应力超过该材料屈服强度而发生解体、裂纹等缺陷。</w:t>
      </w:r>
    </w:p>
    <w:p>
      <w:pPr>
        <w:spacing w:before="156" w:after="156"/>
        <w:rPr>
          <w:rFonts w:hint="default" w:ascii="Times New Roman" w:hAnsi="Times New Roman" w:cs="Times New Roman"/>
        </w:rPr>
      </w:pP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615815" cy="3002915"/>
            <wp:effectExtent l="0" t="0" r="13335" b="6985"/>
            <wp:docPr id="2" name="图片 2" descr="规2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规2-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应力分布图</w:t>
      </w: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626610" cy="2877820"/>
            <wp:effectExtent l="0" t="0" r="2540" b="17780"/>
            <wp:docPr id="3" name="图片 3" descr="规3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规3-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应力局部放大图</w:t>
      </w:r>
    </w:p>
    <w:p>
      <w:pPr>
        <w:pStyle w:val="4"/>
        <w:spacing w:before="156" w:after="156"/>
        <w:rPr>
          <w:rFonts w:hint="default" w:ascii="Times New Roman" w:hAnsi="Times New Roman" w:cs="Times New Roman"/>
        </w:rPr>
      </w:pPr>
      <w:bookmarkStart w:id="12" w:name="_Toc19202"/>
      <w:bookmarkStart w:id="13" w:name="_Toc22147"/>
      <w:r>
        <w:rPr>
          <w:rFonts w:hint="default" w:ascii="Times New Roman" w:hAnsi="Times New Roman" w:cs="Times New Roman"/>
        </w:rPr>
        <w:t>位移分析结果</w:t>
      </w:r>
      <w:bookmarkEnd w:id="12"/>
      <w:bookmarkEnd w:id="13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MS001-A焊接框架最大形变为1.1338mm，处于该产品最顶端。该处所受力主要为重力，形变量相对较大，该处形变主要包括重力作用下产生的形变，以及因50</w:t>
      </w:r>
      <w:r>
        <w:rPr>
          <w:rFonts w:hint="default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</w:rPr>
        <w:t>推力与显示器悬挂所产生的形变余量。但在正常使用条件下，外部设置有MS001-A外观总成，可通过与外壳的相互扣紧、拉合作用下，降低形变的影响。</w:t>
      </w: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488815" cy="2943225"/>
            <wp:effectExtent l="0" t="0" r="6985" b="9525"/>
            <wp:docPr id="4" name="图片 4" descr="规4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规4-截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形变分布图</w:t>
      </w:r>
    </w:p>
    <w:p>
      <w:pPr>
        <w:pStyle w:val="4"/>
        <w:spacing w:before="156" w:after="156"/>
        <w:rPr>
          <w:rFonts w:hint="default" w:ascii="Times New Roman" w:hAnsi="Times New Roman" w:cs="Times New Roman"/>
        </w:rPr>
      </w:pPr>
      <w:bookmarkStart w:id="14" w:name="_Toc13273"/>
      <w:bookmarkStart w:id="15" w:name="_Toc20413"/>
      <w:r>
        <w:rPr>
          <w:rFonts w:hint="default" w:ascii="Times New Roman" w:hAnsi="Times New Roman" w:cs="Times New Roman"/>
        </w:rPr>
        <w:t>分析结果</w:t>
      </w:r>
      <w:bookmarkEnd w:id="14"/>
      <w:bookmarkEnd w:id="15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根据仿真分析求解可知：</w:t>
      </w:r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1）</w:t>
      </w:r>
      <w:r>
        <w:rPr>
          <w:rFonts w:hint="default" w:ascii="Times New Roman" w:hAnsi="Times New Roman" w:cs="Times New Roman"/>
        </w:rPr>
        <w:t>最大应力为199.04MPa，使与显示器连接部分的孔洞（应力奇异点）；</w:t>
      </w:r>
    </w:p>
    <w:p>
      <w:pPr>
        <w:spacing w:before="156" w:after="156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1）</w:t>
      </w:r>
      <w:r>
        <w:rPr>
          <w:rFonts w:hint="default" w:ascii="Times New Roman" w:hAnsi="Times New Roman" w:cs="Times New Roman"/>
        </w:rPr>
        <w:t>最大形变为1.1338mm，处于该产品最顶端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spacing w:before="156" w:after="156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在正常使用条件下，该框架可以满足强度和刚度方面的需求。</w:t>
      </w:r>
    </w:p>
    <w:p>
      <w:pPr>
        <w:pStyle w:val="2"/>
        <w:spacing w:before="312" w:after="312"/>
        <w:rPr>
          <w:rFonts w:hint="default" w:ascii="Times New Roman" w:hAnsi="Times New Roman" w:cs="Times New Roman"/>
        </w:rPr>
      </w:pPr>
      <w:bookmarkStart w:id="16" w:name="_Toc11503"/>
      <w:bookmarkStart w:id="17" w:name="_Toc13839"/>
      <w:r>
        <w:rPr>
          <w:rFonts w:hint="default" w:ascii="Times New Roman" w:hAnsi="Times New Roman" w:cs="Times New Roman"/>
        </w:rPr>
        <w:t>结论</w:t>
      </w:r>
      <w:bookmarkEnd w:id="16"/>
      <w:bookmarkEnd w:id="17"/>
      <w:bookmarkStart w:id="18" w:name="_GoBack"/>
      <w:bookmarkEnd w:id="18"/>
    </w:p>
    <w:p>
      <w:p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规划模块除受自重外，受到的外力很小，结构设计考虑到该台车作为可移动的主体台车，其上承载有MS001-A外观总成、MS001-A侧面板总成、MS001-A工作台总成、显示器等结构，需要具备一定的刚强度。根据分析结果，MS001-A焊接框架的最大应力为199.04MPa（应力奇异点），可忽略，而其余部分应力则在46MPa内，远远小于材料的屈服极限，并且变形量也相对较</w:t>
      </w:r>
      <w:r>
        <w:rPr>
          <w:rFonts w:hint="default" w:ascii="Times New Roman" w:hAnsi="Times New Roman" w:cs="Times New Roman"/>
          <w:lang w:val="en-US" w:eastAsia="zh-CN"/>
        </w:rPr>
        <w:t>小</w:t>
      </w:r>
      <w:r>
        <w:rPr>
          <w:rFonts w:hint="default" w:ascii="Times New Roman" w:hAnsi="Times New Roman" w:cs="Times New Roman"/>
        </w:rPr>
        <w:t>，可通过与MS001-A外观总成相互作用，降低该处形变尺寸，可满足设备长期使用需要。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  <w:r>
      <w:pict>
        <v:shape id="_x0000_s2063" o:spid="_x0000_s2063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ind w:firstLine="36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ind w:firstLine="36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56" w:after="156" w:line="240" w:lineRule="auto"/>
      <w:ind w:firstLine="422"/>
      <w:jc w:val="both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8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AA3D44"/>
    <w:rsid w:val="03916189"/>
    <w:rsid w:val="03DC63F8"/>
    <w:rsid w:val="06856B77"/>
    <w:rsid w:val="08E816CC"/>
    <w:rsid w:val="09495E9C"/>
    <w:rsid w:val="09D64AF1"/>
    <w:rsid w:val="0A652D15"/>
    <w:rsid w:val="0ADC5ED7"/>
    <w:rsid w:val="0B4631C2"/>
    <w:rsid w:val="0D907BCE"/>
    <w:rsid w:val="0EC23362"/>
    <w:rsid w:val="0F1F0644"/>
    <w:rsid w:val="0F213550"/>
    <w:rsid w:val="0F414673"/>
    <w:rsid w:val="10C740F2"/>
    <w:rsid w:val="127A5D60"/>
    <w:rsid w:val="12DE5A2B"/>
    <w:rsid w:val="12EA5D92"/>
    <w:rsid w:val="146F4789"/>
    <w:rsid w:val="15EC0735"/>
    <w:rsid w:val="16444FD4"/>
    <w:rsid w:val="18DB2160"/>
    <w:rsid w:val="19CE2367"/>
    <w:rsid w:val="19FF61BC"/>
    <w:rsid w:val="1E7E62D4"/>
    <w:rsid w:val="1EFA772E"/>
    <w:rsid w:val="1F792A05"/>
    <w:rsid w:val="20C70918"/>
    <w:rsid w:val="213E2362"/>
    <w:rsid w:val="222D7C3C"/>
    <w:rsid w:val="2277547F"/>
    <w:rsid w:val="23E66F77"/>
    <w:rsid w:val="25B30F55"/>
    <w:rsid w:val="263C2101"/>
    <w:rsid w:val="2759479B"/>
    <w:rsid w:val="2B07090E"/>
    <w:rsid w:val="2C0D7BBA"/>
    <w:rsid w:val="2C1607E5"/>
    <w:rsid w:val="2F9F572E"/>
    <w:rsid w:val="2FD15513"/>
    <w:rsid w:val="311D54E3"/>
    <w:rsid w:val="31717711"/>
    <w:rsid w:val="35633557"/>
    <w:rsid w:val="35637A37"/>
    <w:rsid w:val="374F6731"/>
    <w:rsid w:val="383C538E"/>
    <w:rsid w:val="387F4B11"/>
    <w:rsid w:val="38CD52A3"/>
    <w:rsid w:val="39135C3F"/>
    <w:rsid w:val="396C0B8A"/>
    <w:rsid w:val="3C511190"/>
    <w:rsid w:val="3C9A3E4F"/>
    <w:rsid w:val="3D50083F"/>
    <w:rsid w:val="3D7C38A8"/>
    <w:rsid w:val="3E5847BA"/>
    <w:rsid w:val="3EFC4A0B"/>
    <w:rsid w:val="3F500C7E"/>
    <w:rsid w:val="40BE26B9"/>
    <w:rsid w:val="432A3DD0"/>
    <w:rsid w:val="45170D3A"/>
    <w:rsid w:val="46530385"/>
    <w:rsid w:val="48553788"/>
    <w:rsid w:val="49184737"/>
    <w:rsid w:val="499E2018"/>
    <w:rsid w:val="49BB3887"/>
    <w:rsid w:val="49FC3184"/>
    <w:rsid w:val="4A061E9C"/>
    <w:rsid w:val="4A1A607F"/>
    <w:rsid w:val="4A3F10B1"/>
    <w:rsid w:val="4AD53E5C"/>
    <w:rsid w:val="4B3A7C56"/>
    <w:rsid w:val="4B6D6660"/>
    <w:rsid w:val="512123AA"/>
    <w:rsid w:val="54A43F98"/>
    <w:rsid w:val="552D5FC7"/>
    <w:rsid w:val="5604091D"/>
    <w:rsid w:val="5634752D"/>
    <w:rsid w:val="57BA2CA3"/>
    <w:rsid w:val="59220027"/>
    <w:rsid w:val="5AF35B8D"/>
    <w:rsid w:val="5C423996"/>
    <w:rsid w:val="5D2133CD"/>
    <w:rsid w:val="5FDA7DEB"/>
    <w:rsid w:val="61B57E2E"/>
    <w:rsid w:val="62AD7EA4"/>
    <w:rsid w:val="62B91AAA"/>
    <w:rsid w:val="6363143D"/>
    <w:rsid w:val="63722B7C"/>
    <w:rsid w:val="64E3124F"/>
    <w:rsid w:val="653C3059"/>
    <w:rsid w:val="66336C28"/>
    <w:rsid w:val="6636079B"/>
    <w:rsid w:val="67E54733"/>
    <w:rsid w:val="695C736F"/>
    <w:rsid w:val="69917F18"/>
    <w:rsid w:val="6A482159"/>
    <w:rsid w:val="6A9937F9"/>
    <w:rsid w:val="6B5E772C"/>
    <w:rsid w:val="6D906760"/>
    <w:rsid w:val="6DC858EE"/>
    <w:rsid w:val="6F184C76"/>
    <w:rsid w:val="704312EE"/>
    <w:rsid w:val="7051533B"/>
    <w:rsid w:val="72263534"/>
    <w:rsid w:val="72952980"/>
    <w:rsid w:val="73F40D54"/>
    <w:rsid w:val="7572313D"/>
    <w:rsid w:val="76E0667F"/>
    <w:rsid w:val="770911CB"/>
    <w:rsid w:val="77B112C3"/>
    <w:rsid w:val="78D03002"/>
    <w:rsid w:val="797C23F5"/>
    <w:rsid w:val="7A644701"/>
    <w:rsid w:val="7A9F57C3"/>
    <w:rsid w:val="7BBC21DE"/>
    <w:rsid w:val="7C75097D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字符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字符"/>
    <w:basedOn w:val="32"/>
    <w:link w:val="15"/>
    <w:qFormat/>
    <w:uiPriority w:val="99"/>
    <w:rPr>
      <w:kern w:val="2"/>
    </w:rPr>
  </w:style>
  <w:style w:type="character" w:customStyle="1" w:styleId="40">
    <w:name w:val="批注主题 字符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字符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字符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3">
    <w:name w:val="font11"/>
    <w:basedOn w:val="32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4">
    <w:name w:val="font21"/>
    <w:basedOn w:val="3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45">
    <w:name w:val="图表"/>
    <w:basedOn w:val="1"/>
    <w:qFormat/>
    <w:uiPriority w:val="0"/>
    <w:pPr>
      <w:widowControl/>
      <w:spacing w:line="240" w:lineRule="auto"/>
      <w:ind w:firstLine="0" w:firstLineChars="0"/>
      <w:textAlignment w:val="center"/>
    </w:pPr>
    <w:rPr>
      <w:rFonts w:hint="eastAsia" w:ascii="宋体" w:hAnsi="宋体" w:cs="Times New Roman"/>
      <w:color w:val="000000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4.jpeg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49"/>
    <customShpInfo spid="_x0000_s2050"/>
    <customShpInfo spid="_x0000_s2058"/>
    <customShpInfo spid="_x0000_s2057"/>
    <customShpInfo spid="_x0000_s2056"/>
    <customShpInfo spid="_x0000_s2060"/>
    <customShpInfo spid="_x0000_s2059"/>
    <customShpInfo spid="_x0000_s2064"/>
    <customShpInfo spid="_x0000_s2062"/>
    <customShpInfo spid="_x0000_s2063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17579-437C-4130-A8D1-CF2688B13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7</Pages>
  <Words>1152</Words>
  <Characters>1396</Characters>
  <Lines>15</Lines>
  <Paragraphs>4</Paragraphs>
  <TotalTime>15</TotalTime>
  <ScaleCrop>false</ScaleCrop>
  <LinksUpToDate>false</LinksUpToDate>
  <CharactersWithSpaces>1423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2023-01-04T07:56:07Z</dcterms:modified>
  <dc:title>二、项目开发计划</dc:title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79FB90D9E4F84AA0A85035B6517B1947</vt:lpwstr>
  </property>
</Properties>
</file>