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1"/>
          <w:szCs w:val="24"/>
          <w:highlight w:val="green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4"/>
          <w:lang w:val="en-US" w:eastAsia="zh-CN"/>
        </w:rPr>
        <w:t xml:space="preserve">            </w:t>
      </w:r>
    </w:p>
    <w:tbl>
      <w:tblPr>
        <w:tblStyle w:val="20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highlight w:val="none"/>
                <w:u w:val="singl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4"/>
                <w:highlight w:val="none"/>
                <w:u w:val="none"/>
                <w:lang w:val="en-US" w:eastAsia="zh-CN"/>
              </w:rPr>
              <w:t>MS001.01.012TP.1.0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spacing w:after="120"/>
              <w:ind w:left="1960" w:leftChars="700" w:right="196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pacing w:before="0" w:beforeLines="-2147483648" w:after="0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8"/>
                <w:szCs w:val="28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外壳加速寿命测试方案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spacing w:before="0" w:beforeLines="-2147483648" w:after="0" w:afterLines="-2147483648"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文档修订履历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1741"/>
        <w:gridCol w:w="3994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bidi w:val="0"/>
        <w:rPr>
          <w:b/>
          <w:bCs/>
        </w:rPr>
      </w:pPr>
      <w:r>
        <w:rPr>
          <w:rFonts w:hint="eastAsia"/>
          <w:b/>
          <w:bCs/>
        </w:rPr>
        <w:t>保密条款</w:t>
      </w:r>
    </w:p>
    <w:p>
      <w:pPr>
        <w:ind w:firstLine="420"/>
        <w:jc w:val="left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/>
          <w:i w:val="0"/>
          <w:iCs/>
        </w:rPr>
        <w:t>文档仅限</w:t>
      </w:r>
      <w:r>
        <w:rPr>
          <w:rFonts w:hint="eastAsia"/>
          <w:i w:val="0"/>
          <w:iCs/>
          <w:lang w:eastAsia="zh-CN"/>
        </w:rPr>
        <w:t>产品（</w:t>
      </w:r>
      <w:r>
        <w:rPr>
          <w:rFonts w:hint="eastAsia"/>
          <w:i w:val="0"/>
          <w:iCs/>
        </w:rPr>
        <w:t>项目</w:t>
      </w:r>
      <w:r>
        <w:rPr>
          <w:rFonts w:hint="eastAsia"/>
          <w:i w:val="0"/>
          <w:iCs/>
          <w:lang w:eastAsia="zh-CN"/>
        </w:rPr>
        <w:t>）</w:t>
      </w:r>
      <w:r>
        <w:rPr>
          <w:rFonts w:hint="eastAsia"/>
          <w:i w:val="0"/>
          <w:iCs/>
        </w:rPr>
        <w:t>组内流转，违者负相应法律责任</w:t>
      </w:r>
      <w:r>
        <w:rPr>
          <w:rFonts w:hint="eastAsia"/>
          <w:i w:val="0"/>
          <w:iCs/>
          <w:lang w:eastAsia="zh-CN"/>
        </w:rPr>
        <w:t>。</w:t>
      </w: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_Toc22142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第一章 </w:t>
          </w:r>
          <w:r>
            <w:rPr>
              <w:rFonts w:hint="eastAsia"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_Toc22142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_Toc28692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测试</w:t>
          </w:r>
          <w:r>
            <w:rPr>
              <w:rFonts w:hint="eastAsia" w:ascii="Arial" w:hAnsi="Arial"/>
              <w:lang w:eastAsia="zh-CN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_Toc28692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测试</w:t>
          </w:r>
          <w:r>
            <w:rPr>
              <w:rFonts w:hint="default"/>
              <w:lang w:eastAsia="zh-CN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_Toc3198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eastAsia="zh-CN"/>
            </w:rPr>
            <w:t xml:space="preserve">1.3 </w:t>
          </w:r>
          <w:r>
            <w:rPr>
              <w:rFonts w:hint="eastAsia"/>
              <w:lang w:eastAsia="zh-CN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_Toc1137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_Toc23284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_Toc23284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_Toc27265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第二章 测试条件</w:t>
          </w:r>
          <w:r>
            <w:tab/>
          </w:r>
          <w:r>
            <w:fldChar w:fldCharType="begin"/>
          </w:r>
          <w:r>
            <w:instrText xml:space="preserve"> PAGEREF _Toc27265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_Toc22535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测试对象</w:t>
          </w:r>
          <w:r>
            <w:tab/>
          </w:r>
          <w:r>
            <w:fldChar w:fldCharType="begin"/>
          </w:r>
          <w:r>
            <w:instrText xml:space="preserve"> PAGEREF _Toc22535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_Toc31394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测试设备/工装/工具</w:t>
          </w:r>
          <w:r>
            <w:tab/>
          </w:r>
          <w:r>
            <w:fldChar w:fldCharType="begin"/>
          </w:r>
          <w:r>
            <w:instrText xml:space="preserve"> PAGEREF _Toc31394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_Toc21054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2.3 </w:t>
          </w:r>
          <w:r>
            <w:rPr>
              <w:rFonts w:hint="eastAsia"/>
              <w:lang w:val="en-US" w:eastAsia="zh-CN"/>
            </w:rPr>
            <w:t>测试地点</w:t>
          </w:r>
          <w:r>
            <w:tab/>
          </w:r>
          <w:r>
            <w:fldChar w:fldCharType="begin"/>
          </w:r>
          <w:r>
            <w:instrText xml:space="preserve"> PAGEREF _Toc21054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_Toc19024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2.4 </w:t>
          </w:r>
          <w:r>
            <w:rPr>
              <w:rFonts w:hint="eastAsia"/>
              <w:lang w:val="en-US" w:eastAsia="zh-CN"/>
            </w:rPr>
            <w:t>测试</w:t>
          </w:r>
          <w:r>
            <w:rPr>
              <w:rFonts w:hint="eastAsia" w:eastAsia="宋体"/>
              <w:lang w:val="en-US" w:eastAsia="zh-CN"/>
            </w:rPr>
            <w:t>时间</w:t>
          </w:r>
          <w:r>
            <w:tab/>
          </w:r>
          <w:r>
            <w:fldChar w:fldCharType="begin"/>
          </w:r>
          <w:r>
            <w:instrText xml:space="preserve"> PAGEREF _Toc19024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_Toc28116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2.5 </w:t>
          </w:r>
          <w:r>
            <w:rPr>
              <w:rFonts w:hint="eastAsia"/>
              <w:lang w:val="en-US" w:eastAsia="zh-CN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_Toc28116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_Toc1738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2.6 </w:t>
          </w:r>
          <w:r>
            <w:rPr>
              <w:rFonts w:hint="eastAsia"/>
              <w:lang w:val="en-US" w:eastAsia="zh-CN"/>
            </w:rPr>
            <w:t>测试人员</w:t>
          </w:r>
          <w:r>
            <w:tab/>
          </w:r>
          <w:r>
            <w:fldChar w:fldCharType="begin"/>
          </w:r>
          <w:r>
            <w:instrText xml:space="preserve"> PAGEREF _Toc1738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_Toc32082 </w:instrText>
          </w:r>
          <w:r>
            <w:fldChar w:fldCharType="separate"/>
          </w:r>
          <w:r>
            <w:rPr>
              <w:rFonts w:hint="eastAsia"/>
              <w:lang w:eastAsia="zh-CN"/>
            </w:rPr>
            <w:t xml:space="preserve">第三章 </w:t>
          </w:r>
          <w:r>
            <w:rPr>
              <w:rFonts w:hint="eastAsia"/>
              <w:lang w:val="en-US" w:eastAsia="zh-CN"/>
            </w:rPr>
            <w:t>测试可接受准则</w:t>
          </w:r>
          <w:r>
            <w:tab/>
          </w:r>
          <w:r>
            <w:fldChar w:fldCharType="begin"/>
          </w:r>
          <w:r>
            <w:instrText xml:space="preserve"> PAGEREF _Toc32082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_Toc12719 </w:instrText>
          </w:r>
          <w:r>
            <w:fldChar w:fldCharType="separate"/>
          </w:r>
          <w:r>
            <w:rPr>
              <w:rFonts w:hint="eastAsia"/>
              <w:lang w:eastAsia="zh-CN"/>
            </w:rPr>
            <w:t xml:space="preserve">第四章 </w:t>
          </w:r>
          <w:r>
            <w:rPr>
              <w:rFonts w:hint="eastAsia"/>
              <w:lang w:val="en-US" w:eastAsia="zh-CN"/>
            </w:rPr>
            <w:t>测试方法与步骤</w:t>
          </w:r>
          <w:r>
            <w:tab/>
          </w:r>
          <w:r>
            <w:fldChar w:fldCharType="begin"/>
          </w:r>
          <w:r>
            <w:instrText xml:space="preserve"> PAGEREF _Toc12719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_Toc30765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验证原理概述</w:t>
          </w:r>
          <w:r>
            <w:tab/>
          </w:r>
          <w:r>
            <w:fldChar w:fldCharType="begin"/>
          </w:r>
          <w:r>
            <w:instrText xml:space="preserve"> PAGEREF _Toc30765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4.1.1. 常见加速模型</w:t>
          </w:r>
          <w:r>
            <w:tab/>
          </w:r>
          <w:r>
            <w:fldChar w:fldCharType="begin"/>
          </w:r>
          <w:r>
            <w:instrText xml:space="preserve"> PAGEREF _Toc14248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4.1.2. 温度加速因子</w:t>
          </w:r>
          <w:r>
            <w:tab/>
          </w:r>
          <w:r>
            <w:fldChar w:fldCharType="begin"/>
          </w:r>
          <w:r>
            <w:instrText xml:space="preserve"> PAGEREF _Toc18247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4.1.3. 湿度加速因子</w:t>
          </w:r>
          <w:r>
            <w:tab/>
          </w:r>
          <w:r>
            <w:fldChar w:fldCharType="begin"/>
          </w:r>
          <w:r>
            <w:instrText xml:space="preserve"> PAGEREF _Toc22887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_Toc7809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4.2 </w:t>
          </w:r>
          <w:r>
            <w:rPr>
              <w:rFonts w:hint="eastAsia"/>
              <w:lang w:val="en-US" w:eastAsia="zh-CN"/>
            </w:rPr>
            <w:t>验证方法</w:t>
          </w:r>
          <w:r>
            <w:tab/>
          </w:r>
          <w:r>
            <w:fldChar w:fldCharType="begin"/>
          </w:r>
          <w:r>
            <w:instrText xml:space="preserve"> PAGEREF _Toc7809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_Toc24951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4.3 </w:t>
          </w:r>
          <w:r>
            <w:rPr>
              <w:rFonts w:hint="eastAsia"/>
              <w:lang w:val="en-US" w:eastAsia="zh-CN"/>
            </w:rPr>
            <w:t>测试步骤</w:t>
          </w:r>
          <w:r>
            <w:tab/>
          </w:r>
          <w:r>
            <w:fldChar w:fldCharType="begin"/>
          </w:r>
          <w:r>
            <w:instrText xml:space="preserve"> PAGEREF _Toc24951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第五章 测试</w:t>
          </w:r>
          <w:r>
            <w:rPr>
              <w:rFonts w:hint="eastAsia"/>
              <w:lang w:eastAsia="zh-CN"/>
            </w:rPr>
            <w:t>结果</w:t>
          </w:r>
          <w:r>
            <w:rPr>
              <w:rFonts w:hint="eastAsia"/>
              <w:lang w:val="en-US" w:eastAsia="zh-CN"/>
            </w:rPr>
            <w:t>与</w:t>
          </w:r>
          <w:r>
            <w:rPr>
              <w:rFonts w:hint="eastAsia"/>
              <w:lang w:eastAsia="zh-CN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_Toc5049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第六章 </w:t>
          </w:r>
          <w:r>
            <w:rPr>
              <w:rFonts w:hint="eastAsia" w:eastAsia="宋体" w:asciiTheme="minorAscii" w:hAnsiTheme="minorAscii" w:cstheme="minorBidi"/>
              <w:szCs w:val="24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_Toc13747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_Toc26353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6.1 </w:t>
          </w:r>
          <w:r>
            <w:rPr>
              <w:rFonts w:hint="eastAsia"/>
              <w:lang w:val="en-US" w:eastAsia="zh-CN"/>
            </w:rPr>
            <w:t>附表1</w:t>
          </w:r>
          <w:r>
            <w:tab/>
          </w:r>
          <w:r>
            <w:fldChar w:fldCharType="begin"/>
          </w:r>
          <w:r>
            <w:instrText xml:space="preserve"> PAGEREF _Toc26353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fldChar w:fldCharType="end"/>
          </w:r>
        </w:p>
      </w:sdtContent>
    </w:sdt>
    <w:p>
      <w:pPr>
        <w:pStyle w:val="3"/>
        <w:bidi w:val="0"/>
        <w:spacing w:line="360" w:lineRule="auto"/>
        <w:jc w:val="both"/>
        <w:rPr>
          <w:rFonts w:hint="default"/>
          <w:lang w:val="en-US" w:eastAsia="zh-CN"/>
        </w:rPr>
      </w:pPr>
      <w:bookmarkStart w:id="0" w:name="_Toc30924"/>
      <w:bookmarkStart w:id="1" w:name="_Toc10239"/>
      <w:bookmarkStart w:id="2" w:name="_Toc13356"/>
      <w:bookmarkStart w:id="3" w:name="_Toc22142"/>
      <w:bookmarkStart w:id="4" w:name="_Toc25494"/>
      <w:bookmarkStart w:id="5" w:name="_Toc185"/>
      <w:bookmarkStart w:id="6" w:name="_Toc1217"/>
      <w:bookmarkStart w:id="7" w:name="_Toc24226"/>
      <w:bookmarkStart w:id="8" w:name="_Toc27104"/>
      <w:bookmarkStart w:id="9" w:name="_Toc8498"/>
      <w:r>
        <w:rPr>
          <w:rFonts w:hint="eastAsia"/>
          <w:lang w:eastAsia="zh-CN"/>
        </w:rPr>
        <w:t>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5"/>
        <w:tabs>
          <w:tab w:val="left" w:pos="420"/>
        </w:tabs>
        <w:bidi w:val="0"/>
        <w:spacing w:line="360" w:lineRule="auto"/>
        <w:ind w:left="575" w:leftChars="0" w:hanging="575" w:firstLineChars="0"/>
        <w:rPr>
          <w:rFonts w:hint="eastAsia" w:ascii="Arial" w:hAnsi="Arial"/>
          <w:lang w:eastAsia="zh-CN"/>
        </w:rPr>
      </w:pPr>
      <w:bookmarkStart w:id="10" w:name="_Toc14588"/>
      <w:bookmarkStart w:id="11" w:name="_Toc7898"/>
      <w:bookmarkStart w:id="12" w:name="_Toc32383"/>
      <w:bookmarkStart w:id="13" w:name="_Toc24130"/>
      <w:bookmarkStart w:id="14" w:name="_Toc23347"/>
      <w:bookmarkStart w:id="15" w:name="_Toc1912"/>
      <w:bookmarkStart w:id="16" w:name="_Toc9537"/>
      <w:bookmarkStart w:id="17" w:name="_Toc26376"/>
      <w:bookmarkStart w:id="18" w:name="_Toc28692"/>
      <w:bookmarkStart w:id="19" w:name="_Toc8853"/>
      <w:r>
        <w:rPr>
          <w:rFonts w:hint="eastAsia"/>
          <w:lang w:val="en-US" w:eastAsia="zh-CN"/>
        </w:rPr>
        <w:t>测试</w:t>
      </w:r>
      <w:r>
        <w:rPr>
          <w:rFonts w:hint="eastAsia" w:ascii="Arial" w:hAnsi="Arial"/>
          <w:lang w:eastAsia="zh-CN"/>
        </w:rPr>
        <w:t>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spacing w:line="360" w:lineRule="auto"/>
        <w:ind w:firstLine="560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bookmarkStart w:id="20" w:name="_Toc8655"/>
      <w:bookmarkStart w:id="21" w:name="_Toc21184"/>
      <w:bookmarkStart w:id="22" w:name="_Toc17151"/>
      <w:bookmarkStart w:id="23" w:name="_Toc12483"/>
      <w:bookmarkStart w:id="24" w:name="_Toc26745"/>
      <w:bookmarkStart w:id="25" w:name="_Toc27142"/>
      <w:bookmarkStart w:id="26" w:name="_Toc21514"/>
      <w:bookmarkStart w:id="27" w:name="_Toc32447"/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外壳是MS-001系统内的重要组成部分，其寿命影响到MS-001系统能否正常安全工作，根据《MS-001使用期限分析评价报告》中的设定，外壳有效期为8年。本测试方案主要验证外壳是否达到设计目标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在有效期内是否具有足够强度以承受住正常使用时外界应力破坏，保证内部电气部分与患者用户隔绝</w:t>
      </w:r>
      <w:r>
        <w:rPr>
          <w:rFonts w:hint="eastAsia" w:ascii="Times New Roman" w:hAnsi="Times New Roman" w:cs="Times New Roman"/>
          <w:b w:val="0"/>
          <w:bCs/>
          <w:strike w:val="0"/>
          <w:dstrike w:val="0"/>
          <w:sz w:val="24"/>
          <w:szCs w:val="24"/>
          <w:lang w:val="en-US" w:eastAsia="zh-CN"/>
        </w:rPr>
        <w:t>。</w:t>
      </w:r>
    </w:p>
    <w:p>
      <w:pPr>
        <w:pStyle w:val="5"/>
        <w:tabs>
          <w:tab w:val="left" w:pos="420"/>
        </w:tabs>
        <w:spacing w:line="360" w:lineRule="auto"/>
        <w:ind w:left="575" w:hanging="575"/>
        <w:rPr>
          <w:rFonts w:hint="default"/>
          <w:sz w:val="28"/>
          <w:szCs w:val="24"/>
          <w:lang w:val="en-US" w:eastAsia="zh-CN"/>
        </w:rPr>
      </w:pPr>
      <w:bookmarkStart w:id="28" w:name="_Toc3198"/>
      <w:r>
        <w:rPr>
          <w:rFonts w:hint="eastAsia"/>
          <w:lang w:val="en-US" w:eastAsia="zh-CN"/>
        </w:rPr>
        <w:t>测试</w:t>
      </w:r>
      <w:r>
        <w:rPr>
          <w:rFonts w:hint="default"/>
          <w:lang w:eastAsia="zh-CN"/>
        </w:rPr>
        <w:t>范围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Start w:id="29" w:name="_Toc11648"/>
      <w:bookmarkEnd w:id="29"/>
      <w:bookmarkStart w:id="30" w:name="_Toc18639"/>
      <w:bookmarkEnd w:id="30"/>
      <w:bookmarkStart w:id="31" w:name="_Toc4427"/>
      <w:bookmarkEnd w:id="31"/>
      <w:bookmarkStart w:id="32" w:name="_Toc3290"/>
      <w:bookmarkEnd w:id="32"/>
      <w:bookmarkStart w:id="33" w:name="_Toc22393"/>
      <w:bookmarkEnd w:id="33"/>
      <w:bookmarkStart w:id="34" w:name="_Toc32161"/>
      <w:bookmarkEnd w:id="34"/>
    </w:p>
    <w:p>
      <w:pPr>
        <w:spacing w:line="360" w:lineRule="auto"/>
        <w:ind w:firstLine="56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适用于MS-001外壳的有效期的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验证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。</w:t>
      </w:r>
    </w:p>
    <w:p>
      <w:pPr>
        <w:pStyle w:val="5"/>
        <w:tabs>
          <w:tab w:val="left" w:pos="420"/>
        </w:tabs>
        <w:bidi w:val="0"/>
        <w:spacing w:line="360" w:lineRule="auto"/>
        <w:rPr>
          <w:rFonts w:hint="eastAsia"/>
          <w:lang w:eastAsia="zh-CN"/>
        </w:rPr>
      </w:pPr>
      <w:bookmarkStart w:id="35" w:name="_Toc24793"/>
      <w:bookmarkStart w:id="36" w:name="_Toc1137"/>
      <w:bookmarkStart w:id="37" w:name="_Toc17305"/>
      <w:bookmarkStart w:id="38" w:name="_Toc20781"/>
      <w:bookmarkStart w:id="39" w:name="_Toc24382"/>
      <w:bookmarkStart w:id="40" w:name="_Toc25521"/>
      <w:bookmarkStart w:id="41" w:name="_Toc32484"/>
      <w:bookmarkStart w:id="42" w:name="_Toc13067"/>
      <w:bookmarkStart w:id="43" w:name="_Toc18489"/>
      <w:bookmarkStart w:id="44" w:name="_Toc11457"/>
      <w:r>
        <w:rPr>
          <w:rFonts w:hint="eastAsia"/>
          <w:lang w:eastAsia="zh-CN"/>
        </w:rPr>
        <w:t>术语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>
      <w:pPr>
        <w:spacing w:line="360" w:lineRule="auto"/>
        <w:ind w:firstLine="560"/>
        <w:rPr>
          <w:rFonts w:hint="default"/>
          <w:color w:val="auto"/>
          <w:sz w:val="24"/>
          <w:szCs w:val="22"/>
          <w:lang w:val="en-US" w:eastAsia="zh-CN"/>
        </w:rPr>
      </w:pPr>
      <w:r>
        <w:rPr>
          <w:rFonts w:hint="eastAsia"/>
          <w:color w:val="auto"/>
          <w:sz w:val="24"/>
          <w:szCs w:val="22"/>
          <w:lang w:val="en-US" w:eastAsia="zh-CN"/>
        </w:rPr>
        <w:t>无。</w:t>
      </w:r>
    </w:p>
    <w:p>
      <w:pPr>
        <w:pStyle w:val="5"/>
        <w:tabs>
          <w:tab w:val="left" w:pos="420"/>
        </w:tabs>
        <w:bidi w:val="0"/>
        <w:spacing w:line="360" w:lineRule="auto"/>
        <w:rPr>
          <w:rFonts w:hint="eastAsia"/>
          <w:lang w:eastAsia="zh-CN"/>
        </w:rPr>
      </w:pPr>
      <w:bookmarkStart w:id="45" w:name="_Toc23284"/>
      <w:r>
        <w:rPr>
          <w:rFonts w:hint="eastAsia"/>
          <w:lang w:val="en-US" w:eastAsia="zh-CN"/>
        </w:rPr>
        <w:t>参考资料</w:t>
      </w:r>
      <w:bookmarkEnd w:id="45"/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highlight w:val="none"/>
          <w:lang w:val="en-US" w:eastAsia="zh-CN"/>
        </w:rPr>
        <w:t>GB∕T 34986-2017 《产品加速试验方法》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GB 9706.1-2007 《医用电气设备 第1部分：安全通用要求》</w:t>
      </w:r>
    </w:p>
    <w:p>
      <w:pPr>
        <w:pStyle w:val="3"/>
        <w:bidi w:val="0"/>
        <w:spacing w:line="360" w:lineRule="auto"/>
        <w:rPr>
          <w:rFonts w:hint="default"/>
          <w:lang w:val="en-US" w:eastAsia="zh-CN"/>
        </w:rPr>
      </w:pPr>
      <w:bookmarkStart w:id="46" w:name="_Toc27265"/>
      <w:bookmarkStart w:id="47" w:name="_Toc9934"/>
      <w:bookmarkStart w:id="48" w:name="_Toc24202"/>
      <w:bookmarkStart w:id="49" w:name="_Toc9422"/>
      <w:bookmarkStart w:id="50" w:name="_Toc477"/>
      <w:bookmarkStart w:id="51" w:name="_Toc4826"/>
      <w:bookmarkStart w:id="52" w:name="_Toc1748"/>
      <w:bookmarkStart w:id="53" w:name="_Toc13206"/>
      <w:bookmarkStart w:id="54" w:name="_Toc1867"/>
      <w:r>
        <w:rPr>
          <w:rFonts w:hint="eastAsia"/>
          <w:lang w:val="en-US" w:eastAsia="zh-CN"/>
        </w:rPr>
        <w:t>测试条件</w:t>
      </w:r>
      <w:bookmarkEnd w:id="46"/>
    </w:p>
    <w:bookmarkEnd w:id="44"/>
    <w:p>
      <w:pPr>
        <w:pStyle w:val="5"/>
        <w:tabs>
          <w:tab w:val="left" w:pos="420"/>
        </w:tabs>
        <w:bidi w:val="0"/>
        <w:spacing w:line="360" w:lineRule="auto"/>
        <w:ind w:left="575" w:leftChars="0" w:hanging="575" w:firstLineChars="0"/>
        <w:rPr>
          <w:rFonts w:hint="default"/>
          <w:lang w:val="en-US" w:eastAsia="zh-CN"/>
        </w:rPr>
      </w:pPr>
      <w:bookmarkStart w:id="55" w:name="_Toc22535"/>
      <w:r>
        <w:rPr>
          <w:rFonts w:hint="eastAsia"/>
          <w:lang w:val="en-US" w:eastAsia="zh-CN"/>
        </w:rPr>
        <w:t>测试对象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tbl>
      <w:tblPr>
        <w:tblStyle w:val="20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092"/>
        <w:gridCol w:w="2380"/>
        <w:gridCol w:w="18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bookmarkStart w:id="56" w:name="_Toc27561"/>
            <w:r>
              <w:rPr>
                <w:rFonts w:hint="eastAsia"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1228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设备名称</w:t>
            </w:r>
          </w:p>
        </w:tc>
        <w:tc>
          <w:tcPr>
            <w:tcW w:w="1397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型号规格</w:t>
            </w:r>
          </w:p>
        </w:tc>
        <w:tc>
          <w:tcPr>
            <w:tcW w:w="1071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MS001-B.04.004SL</w:t>
            </w:r>
          </w:p>
        </w:tc>
        <w:tc>
          <w:tcPr>
            <w:tcW w:w="1228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外壳</w:t>
            </w:r>
          </w:p>
        </w:tc>
        <w:tc>
          <w:tcPr>
            <w:tcW w:w="1397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MS001-B 外壳3</w:t>
            </w:r>
          </w:p>
        </w:tc>
        <w:tc>
          <w:tcPr>
            <w:tcW w:w="1071" w:type="pc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/</w:t>
            </w:r>
          </w:p>
        </w:tc>
      </w:tr>
    </w:tbl>
    <w:p>
      <w:pPr>
        <w:pStyle w:val="5"/>
        <w:tabs>
          <w:tab w:val="left" w:pos="420"/>
        </w:tabs>
        <w:spacing w:line="360" w:lineRule="auto"/>
        <w:ind w:left="575" w:hanging="575"/>
        <w:rPr>
          <w:rFonts w:hint="eastAsia"/>
          <w:lang w:val="en-US" w:eastAsia="zh-CN"/>
        </w:rPr>
      </w:pPr>
      <w:bookmarkStart w:id="57" w:name="_Toc27341"/>
      <w:bookmarkStart w:id="58" w:name="_Toc18418"/>
      <w:bookmarkStart w:id="59" w:name="_Toc28399"/>
      <w:bookmarkStart w:id="60" w:name="_Toc10789"/>
      <w:bookmarkStart w:id="61" w:name="_Toc21937"/>
      <w:bookmarkStart w:id="62" w:name="_Toc31328"/>
      <w:bookmarkStart w:id="63" w:name="_Toc11532"/>
      <w:bookmarkStart w:id="64" w:name="_Toc31394"/>
      <w:r>
        <w:rPr>
          <w:rFonts w:hint="eastAsia"/>
          <w:lang w:val="en-US" w:eastAsia="zh-CN"/>
        </w:rPr>
        <w:t>测试设备/工装/工具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tbl>
      <w:tblPr>
        <w:tblStyle w:val="20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4"/>
        <w:gridCol w:w="2369"/>
        <w:gridCol w:w="18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Times New Roman"/>
                <w:sz w:val="24"/>
                <w:szCs w:val="24"/>
              </w:rPr>
            </w:pPr>
            <w:r>
              <w:rPr>
                <w:rFonts w:hint="eastAsia" w:ascii="Calibri" w:hAnsi="Calibri" w:cs="Times New Roman"/>
                <w:sz w:val="24"/>
                <w:szCs w:val="24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Times New Roman"/>
                <w:sz w:val="24"/>
                <w:szCs w:val="24"/>
              </w:rPr>
            </w:pPr>
            <w:r>
              <w:rPr>
                <w:rFonts w:hint="eastAsia" w:ascii="Calibri" w:hAnsi="Calibri" w:cs="Times New Roman"/>
                <w:sz w:val="24"/>
                <w:szCs w:val="24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Times New Roman"/>
                <w:sz w:val="24"/>
                <w:szCs w:val="24"/>
              </w:rPr>
            </w:pPr>
            <w:r>
              <w:rPr>
                <w:rFonts w:hint="eastAsia" w:ascii="Calibri" w:hAnsi="Calibri" w:cs="Times New Roman"/>
                <w:sz w:val="24"/>
                <w:szCs w:val="24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cs="Times New Roman"/>
                <w:sz w:val="24"/>
                <w:szCs w:val="24"/>
              </w:rPr>
            </w:pPr>
            <w:r>
              <w:rPr>
                <w:rFonts w:hint="eastAsia" w:ascii="Calibri" w:hAnsi="Calibri" w:cs="Times New Roman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eastAsiaTheme="minorEastAsia"/>
                <w:sz w:val="24"/>
                <w:szCs w:val="24"/>
              </w:rPr>
              <w:t>ST/SC-0</w:t>
            </w:r>
            <w:r>
              <w:rPr>
                <w:rFonts w:hint="eastAsia" w:eastAsiaTheme="minorEastAsia"/>
                <w:sz w:val="24"/>
                <w:szCs w:val="24"/>
              </w:rPr>
              <w:t>25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高低温试验箱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WHTM-150BO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none"/>
              </w:rPr>
              <w:t>ST/ZG-013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砝码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500g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ST/SC-04</w:t>
            </w: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表面电阻率测试仪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HZR-100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/</w:t>
            </w:r>
          </w:p>
        </w:tc>
      </w:tr>
      <w:bookmarkEnd w:id="56"/>
    </w:tbl>
    <w:p>
      <w:pPr>
        <w:pStyle w:val="5"/>
        <w:tabs>
          <w:tab w:val="left" w:pos="420"/>
        </w:tabs>
        <w:rPr>
          <w:rFonts w:hint="eastAsia"/>
          <w:lang w:val="en-US" w:eastAsia="zh-CN"/>
        </w:rPr>
      </w:pPr>
      <w:bookmarkStart w:id="65" w:name="_Toc21054"/>
      <w:bookmarkStart w:id="66" w:name="_Toc2111"/>
      <w:bookmarkStart w:id="67" w:name="_Toc4741"/>
      <w:bookmarkStart w:id="68" w:name="_Toc16357"/>
      <w:bookmarkStart w:id="69" w:name="_Toc3324"/>
      <w:bookmarkStart w:id="70" w:name="_Toc15049"/>
      <w:bookmarkStart w:id="71" w:name="_Toc29383"/>
      <w:bookmarkStart w:id="72" w:name="_Toc26207"/>
      <w:bookmarkStart w:id="73" w:name="_Toc27278"/>
      <w:r>
        <w:rPr>
          <w:rFonts w:hint="eastAsia"/>
          <w:lang w:val="en-US" w:eastAsia="zh-CN"/>
        </w:rPr>
        <w:t>测试地点</w:t>
      </w:r>
      <w:bookmarkEnd w:id="65"/>
    </w:p>
    <w:p>
      <w:pPr>
        <w:ind w:firstLine="560"/>
        <w:rPr>
          <w:rFonts w:hint="default"/>
          <w:color w:val="auto"/>
          <w:sz w:val="24"/>
          <w:szCs w:val="22"/>
          <w:lang w:val="en-US" w:eastAsia="zh-CN"/>
        </w:rPr>
      </w:pPr>
      <w:r>
        <w:rPr>
          <w:rFonts w:hint="eastAsia"/>
          <w:color w:val="auto"/>
          <w:sz w:val="24"/>
          <w:szCs w:val="22"/>
          <w:lang w:val="en-US" w:eastAsia="zh-CN"/>
        </w:rPr>
        <w:t>实验室</w:t>
      </w:r>
    </w:p>
    <w:p>
      <w:pPr>
        <w:pStyle w:val="5"/>
        <w:tabs>
          <w:tab w:val="left" w:pos="420"/>
        </w:tabs>
        <w:rPr>
          <w:rFonts w:hint="eastAsia" w:eastAsia="宋体"/>
          <w:lang w:val="en-US" w:eastAsia="zh-CN"/>
        </w:rPr>
      </w:pPr>
      <w:bookmarkStart w:id="74" w:name="_Toc19024"/>
      <w:r>
        <w:rPr>
          <w:rFonts w:hint="eastAsia"/>
          <w:lang w:val="en-US" w:eastAsia="zh-CN"/>
        </w:rPr>
        <w:t>测试</w:t>
      </w:r>
      <w:r>
        <w:rPr>
          <w:rFonts w:hint="eastAsia" w:eastAsia="宋体"/>
          <w:lang w:val="en-US" w:eastAsia="zh-CN"/>
        </w:rPr>
        <w:t>时间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>
      <w:pPr>
        <w:ind w:firstLine="560"/>
        <w:rPr>
          <w:rFonts w:hint="eastAsia" w:ascii="Times New Roman" w:hAnsi="Times New Roman" w:eastAsia="宋体" w:cs="宋体"/>
          <w:color w:val="auto"/>
          <w:sz w:val="24"/>
          <w:szCs w:val="22"/>
          <w:lang w:val="en-US" w:eastAsia="zh-CN"/>
        </w:rPr>
      </w:pPr>
      <w:r>
        <w:rPr>
          <w:rFonts w:hint="eastAsia" w:ascii="Times New Roman" w:hAnsi="Times New Roman" w:cs="宋体"/>
          <w:color w:val="auto"/>
          <w:sz w:val="24"/>
          <w:szCs w:val="22"/>
          <w:lang w:val="en-US" w:eastAsia="zh-CN"/>
        </w:rPr>
        <w:t>2021.05-2021.07</w:t>
      </w:r>
    </w:p>
    <w:p>
      <w:pPr>
        <w:pStyle w:val="5"/>
        <w:tabs>
          <w:tab w:val="left" w:pos="420"/>
        </w:tabs>
        <w:bidi w:val="0"/>
        <w:rPr>
          <w:rFonts w:hint="eastAsia"/>
        </w:rPr>
      </w:pPr>
      <w:bookmarkStart w:id="75" w:name="_Toc28116"/>
      <w:bookmarkStart w:id="76" w:name="_Toc602"/>
      <w:bookmarkStart w:id="77" w:name="_Toc9164"/>
      <w:bookmarkStart w:id="78" w:name="_Toc11888"/>
      <w:bookmarkStart w:id="79" w:name="_Toc15326"/>
      <w:bookmarkStart w:id="80" w:name="_Toc1754"/>
      <w:bookmarkStart w:id="81" w:name="_Toc29300"/>
      <w:bookmarkStart w:id="82" w:name="_Toc9414"/>
      <w:bookmarkStart w:id="83" w:name="_Toc32107"/>
      <w:bookmarkStart w:id="84" w:name="_Toc31455"/>
      <w:r>
        <w:rPr>
          <w:rFonts w:hint="eastAsia"/>
          <w:lang w:val="en-US" w:eastAsia="zh-CN"/>
        </w:rPr>
        <w:t>测试环境</w:t>
      </w:r>
      <w:bookmarkEnd w:id="75"/>
    </w:p>
    <w:p>
      <w:pPr>
        <w:ind w:firstLine="56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温度要求：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无</w:t>
      </w:r>
    </w:p>
    <w:p>
      <w:pPr>
        <w:ind w:firstLine="56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湿度要求：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无</w:t>
      </w:r>
    </w:p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p>
      <w:pPr>
        <w:pStyle w:val="5"/>
        <w:tabs>
          <w:tab w:val="left" w:pos="420"/>
        </w:tabs>
        <w:bidi w:val="0"/>
        <w:rPr>
          <w:rFonts w:hint="eastAsia"/>
        </w:rPr>
      </w:pPr>
      <w:bookmarkStart w:id="85" w:name="_Toc1738"/>
      <w:r>
        <w:rPr>
          <w:rFonts w:hint="eastAsia"/>
          <w:lang w:val="en-US" w:eastAsia="zh-CN"/>
        </w:rPr>
        <w:t>测试人员</w:t>
      </w:r>
      <w:bookmarkEnd w:id="85"/>
    </w:p>
    <w:tbl>
      <w:tblPr>
        <w:tblStyle w:val="21"/>
        <w:tblW w:w="486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"/>
        <w:gridCol w:w="1511"/>
        <w:gridCol w:w="1918"/>
        <w:gridCol w:w="2235"/>
        <w:gridCol w:w="2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No.</w:t>
            </w:r>
          </w:p>
        </w:tc>
        <w:tc>
          <w:tcPr>
            <w:tcW w:w="1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19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部门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岗位</w:t>
            </w:r>
          </w:p>
        </w:tc>
        <w:tc>
          <w:tcPr>
            <w:tcW w:w="20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沈杭</w:t>
            </w:r>
          </w:p>
        </w:tc>
        <w:tc>
          <w:tcPr>
            <w:tcW w:w="19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研发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中心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设备结构工程师</w:t>
            </w:r>
          </w:p>
        </w:tc>
        <w:tc>
          <w:tcPr>
            <w:tcW w:w="20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执行者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none"/>
                <w:lang w:val="en-US" w:eastAsia="zh-CN"/>
              </w:rPr>
              <w:t>颜廷威</w:t>
            </w:r>
          </w:p>
        </w:tc>
        <w:tc>
          <w:tcPr>
            <w:tcW w:w="19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研发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中心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设备结构工程师</w:t>
            </w:r>
          </w:p>
        </w:tc>
        <w:tc>
          <w:tcPr>
            <w:tcW w:w="20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执行者</w:t>
            </w:r>
          </w:p>
        </w:tc>
      </w:tr>
    </w:tbl>
    <w:p>
      <w:pPr>
        <w:pStyle w:val="3"/>
        <w:bidi w:val="0"/>
        <w:rPr>
          <w:rFonts w:hint="eastAsia"/>
          <w:lang w:eastAsia="zh-CN"/>
        </w:rPr>
      </w:pPr>
      <w:bookmarkStart w:id="86" w:name="_Toc2006"/>
      <w:bookmarkStart w:id="87" w:name="_Toc9029"/>
      <w:bookmarkStart w:id="88" w:name="_Toc15702"/>
      <w:bookmarkStart w:id="89" w:name="_Toc32082"/>
      <w:bookmarkStart w:id="90" w:name="_Toc1400"/>
      <w:bookmarkStart w:id="91" w:name="_Toc29201"/>
      <w:bookmarkStart w:id="92" w:name="_Toc21694"/>
      <w:bookmarkStart w:id="93" w:name="_Toc19959"/>
      <w:bookmarkStart w:id="94" w:name="_Toc4467"/>
      <w:bookmarkStart w:id="95" w:name="_Toc28523"/>
      <w:r>
        <w:rPr>
          <w:rFonts w:hint="eastAsia"/>
          <w:lang w:val="en-US" w:eastAsia="zh-CN"/>
        </w:rPr>
        <w:t>测试可接受准则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>
      <w:pPr>
        <w:numPr>
          <w:ilvl w:val="0"/>
          <w:numId w:val="0"/>
        </w:numPr>
        <w:ind w:left="560" w:leftChars="200"/>
        <w:rPr>
          <w:rFonts w:hint="default" w:ascii="Times New Roman" w:hAnsi="Times New Roman" w:eastAsia="宋体" w:cs="Times New Roman"/>
          <w:b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sz w:val="24"/>
          <w:szCs w:val="24"/>
          <w:lang w:val="en-US" w:eastAsia="zh-CN"/>
        </w:rPr>
        <w:t>测试结果应符合以下指标：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default" w:ascii="Times New Roman" w:hAnsi="Times New Roman"/>
          <w:b w:val="0"/>
          <w:sz w:val="24"/>
          <w:szCs w:val="22"/>
          <w:lang w:val="en-US" w:eastAsia="zh-CN"/>
        </w:rPr>
      </w:pPr>
      <w:r>
        <w:rPr>
          <w:rFonts w:hint="eastAsia" w:ascii="Times New Roman" w:hAnsi="Times New Roman"/>
          <w:b w:val="0"/>
          <w:sz w:val="24"/>
          <w:szCs w:val="22"/>
          <w:lang w:val="en-US" w:eastAsia="zh-CN"/>
        </w:rPr>
        <w:t>外观检查，没有发生油漆剥落、结构裂纹和变形，试验后外壳可实配组装；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eastAsia" w:ascii="Times New Roman" w:hAnsi="Times New Roman"/>
          <w:b w:val="0"/>
          <w:sz w:val="24"/>
          <w:szCs w:val="22"/>
          <w:lang w:val="en-US" w:eastAsia="zh-CN"/>
        </w:rPr>
      </w:pPr>
      <w:r>
        <w:rPr>
          <w:rFonts w:hint="eastAsia" w:ascii="Times New Roman" w:hAnsi="Times New Roman"/>
          <w:b w:val="0"/>
          <w:sz w:val="24"/>
          <w:szCs w:val="22"/>
          <w:lang w:val="en-US" w:eastAsia="zh-CN"/>
        </w:rPr>
        <w:t>油漆耐擦拭试验后，测试位置</w:t>
      </w:r>
      <w:r>
        <w:rPr>
          <w:rFonts w:hint="default" w:ascii="Times New Roman" w:hAnsi="Times New Roman"/>
          <w:b w:val="0"/>
          <w:sz w:val="24"/>
          <w:szCs w:val="22"/>
          <w:lang w:eastAsia="zh-CN"/>
        </w:rPr>
        <w:t>涂层不脱落，不变色，不露出底材质地</w:t>
      </w:r>
      <w:r>
        <w:rPr>
          <w:rFonts w:hint="eastAsia" w:ascii="Times New Roman" w:hAnsi="Times New Roman"/>
          <w:b w:val="0"/>
          <w:sz w:val="24"/>
          <w:szCs w:val="22"/>
          <w:lang w:val="en-US" w:eastAsia="zh-CN"/>
        </w:rPr>
        <w:t>；</w:t>
      </w:r>
    </w:p>
    <w:p>
      <w:pPr>
        <w:numPr>
          <w:ilvl w:val="0"/>
          <w:numId w:val="2"/>
        </w:numPr>
        <w:ind w:left="845" w:leftChars="0" w:hanging="425"/>
        <w:rPr>
          <w:rFonts w:hint="eastAsia" w:ascii="Times New Roman" w:hAnsi="Times New Roman" w:eastAsia="宋体" w:cstheme="minorBidi"/>
          <w:sz w:val="24"/>
          <w:szCs w:val="22"/>
          <w:vertAlign w:val="baseline"/>
          <w:lang w:val="en-US" w:eastAsia="zh-CN"/>
        </w:rPr>
      </w:pPr>
      <w:r>
        <w:rPr>
          <w:rFonts w:hint="eastAsia" w:ascii="Times New Roman" w:hAnsi="Times New Roman" w:eastAsia="宋体" w:cstheme="minorBidi"/>
          <w:sz w:val="24"/>
          <w:szCs w:val="22"/>
          <w:vertAlign w:val="baseline"/>
          <w:lang w:val="en-US" w:eastAsia="zh-CN"/>
        </w:rPr>
        <w:t>导电漆测试全部通过</w:t>
      </w:r>
      <w:r>
        <w:rPr>
          <w:rFonts w:hint="eastAsia" w:ascii="Times New Roman" w:hAnsi="Times New Roman" w:cstheme="minorBidi"/>
          <w:sz w:val="24"/>
          <w:szCs w:val="22"/>
          <w:vertAlign w:val="baseline"/>
          <w:lang w:val="en-US" w:eastAsia="zh-CN"/>
        </w:rPr>
        <w:t>；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default" w:ascii="Times New Roman" w:hAnsi="Times New Roman"/>
          <w:b w:val="0"/>
          <w:sz w:val="24"/>
          <w:szCs w:val="22"/>
          <w:lang w:val="en-US" w:eastAsia="zh-CN"/>
        </w:rPr>
      </w:pPr>
      <w:r>
        <w:rPr>
          <w:rFonts w:hint="eastAsia" w:ascii="Times New Roman" w:hAnsi="Times New Roman"/>
          <w:b w:val="0"/>
          <w:sz w:val="24"/>
          <w:szCs w:val="22"/>
          <w:lang w:val="en-US" w:eastAsia="zh-CN"/>
        </w:rPr>
        <w:t>外壳机械强度</w:t>
      </w:r>
      <w:r>
        <w:rPr>
          <w:rFonts w:hint="eastAsia" w:ascii="Times New Roman" w:hAnsi="Times New Roman"/>
          <w:b w:val="0"/>
          <w:bCs w:val="0"/>
          <w:sz w:val="24"/>
          <w:szCs w:val="22"/>
          <w:lang w:val="en-US" w:eastAsia="zh-CN"/>
        </w:rPr>
        <w:t>检测</w:t>
      </w:r>
      <w:r>
        <w:rPr>
          <w:rFonts w:hint="eastAsia" w:ascii="Times New Roman" w:hAnsi="Times New Roman"/>
          <w:b w:val="0"/>
          <w:bCs/>
          <w:sz w:val="24"/>
          <w:szCs w:val="22"/>
          <w:lang w:val="en-US" w:eastAsia="zh-CN"/>
        </w:rPr>
        <w:t>，</w:t>
      </w:r>
      <w:r>
        <w:rPr>
          <w:rFonts w:hint="eastAsia" w:ascii="Times New Roman" w:hAnsi="Times New Roman"/>
          <w:b w:val="0"/>
          <w:sz w:val="24"/>
          <w:szCs w:val="22"/>
          <w:lang w:val="en-US" w:eastAsia="zh-CN"/>
        </w:rPr>
        <w:t>经过冲击试验，没有破裂。</w:t>
      </w:r>
    </w:p>
    <w:p>
      <w:pPr>
        <w:pStyle w:val="3"/>
        <w:bidi w:val="0"/>
        <w:rPr>
          <w:rFonts w:hint="eastAsia"/>
          <w:lang w:eastAsia="zh-CN"/>
        </w:rPr>
      </w:pPr>
      <w:bookmarkStart w:id="96" w:name="_Toc25226"/>
      <w:bookmarkStart w:id="97" w:name="_Toc5244"/>
      <w:bookmarkStart w:id="98" w:name="_Toc3397"/>
      <w:bookmarkStart w:id="99" w:name="_Toc19363"/>
      <w:bookmarkStart w:id="100" w:name="_Toc3422"/>
      <w:bookmarkStart w:id="101" w:name="_Toc28304"/>
      <w:bookmarkStart w:id="102" w:name="_Toc26435"/>
      <w:bookmarkStart w:id="103" w:name="_Toc6986"/>
      <w:bookmarkStart w:id="104" w:name="_Toc19333"/>
      <w:bookmarkStart w:id="105" w:name="_Toc12719"/>
      <w:r>
        <w:rPr>
          <w:rFonts w:hint="eastAsia"/>
          <w:lang w:val="en-US" w:eastAsia="zh-CN"/>
        </w:rPr>
        <w:t>测试方法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r>
        <w:rPr>
          <w:rFonts w:hint="eastAsia"/>
          <w:lang w:val="en-US" w:eastAsia="zh-CN"/>
        </w:rPr>
        <w:t>与步骤</w:t>
      </w:r>
      <w:bookmarkEnd w:id="105"/>
    </w:p>
    <w:p>
      <w:pPr>
        <w:pStyle w:val="5"/>
        <w:bidi w:val="0"/>
        <w:ind w:left="575" w:leftChars="0" w:hanging="575" w:firstLineChars="0"/>
        <w:outlineLvl w:val="2"/>
        <w:rPr>
          <w:rFonts w:hint="eastAsia"/>
          <w:lang w:val="en-US" w:eastAsia="zh-CN"/>
        </w:rPr>
      </w:pPr>
      <w:bookmarkStart w:id="106" w:name="_Toc30765"/>
      <w:bookmarkStart w:id="107" w:name="_Toc21692"/>
      <w:r>
        <w:rPr>
          <w:rFonts w:hint="eastAsia"/>
          <w:lang w:val="en-US" w:eastAsia="zh-CN"/>
        </w:rPr>
        <w:t>验证原理概述</w:t>
      </w:r>
      <w:bookmarkEnd w:id="106"/>
    </w:p>
    <w:p>
      <w:pPr>
        <w:pStyle w:val="6"/>
        <w:tabs>
          <w:tab w:val="left" w:pos="420"/>
        </w:tabs>
        <w:bidi w:val="0"/>
        <w:ind w:left="575" w:leftChars="0" w:hanging="575" w:firstLineChars="0"/>
        <w:outlineLvl w:val="2"/>
        <w:rPr>
          <w:rFonts w:hint="eastAsia"/>
          <w:lang w:val="en-US" w:eastAsia="zh-CN"/>
        </w:rPr>
      </w:pPr>
      <w:bookmarkStart w:id="108" w:name="_Toc14248"/>
      <w:r>
        <w:rPr>
          <w:rFonts w:hint="eastAsia"/>
          <w:lang w:val="en-US" w:eastAsia="zh-CN"/>
        </w:rPr>
        <w:t>常见加速模型</w:t>
      </w:r>
      <w:bookmarkEnd w:id="107"/>
      <w:bookmarkEnd w:id="108"/>
    </w:p>
    <w:p>
      <w:pPr>
        <w:ind w:firstLine="5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加速环境试验是一种</w:t>
      </w:r>
      <w:r>
        <w:rPr>
          <w:rFonts w:hint="default"/>
          <w:sz w:val="24"/>
          <w:szCs w:val="24"/>
          <w:lang w:val="en-US" w:eastAsia="zh-CN"/>
        </w:rPr>
        <w:t>激发试验，它通过强化的应力环境来进行可靠性试验</w:t>
      </w:r>
      <w:r>
        <w:rPr>
          <w:rFonts w:hint="eastAsia"/>
          <w:sz w:val="24"/>
          <w:szCs w:val="24"/>
          <w:lang w:val="en-US" w:eastAsia="zh-CN"/>
        </w:rPr>
        <w:t>。加速环境试验的加速水平通常用加速因子来表示。加速因子的含义是指设备在正常工作应力下的寿命</w:t>
      </w:r>
      <w:r>
        <w:rPr>
          <w:rFonts w:hint="default"/>
          <w:sz w:val="24"/>
          <w:szCs w:val="24"/>
          <w:lang w:val="en-US" w:eastAsia="zh-CN"/>
        </w:rPr>
        <w:t>与在加速环境下的寿命之比，通俗来讲就是指一小时试验相当于正常使用的时间。因此</w:t>
      </w:r>
      <w:r>
        <w:rPr>
          <w:rFonts w:hint="eastAsia"/>
          <w:sz w:val="24"/>
          <w:szCs w:val="24"/>
          <w:lang w:val="en-US" w:eastAsia="zh-CN"/>
        </w:rPr>
        <w:t>加速因子的计算成为加速寿命试验的核心问题，也成为客户最为关心的问题。加速因子的计算也是基于一定的物理模型的，下面分别说明常用应力的加速因子的计算方法。</w:t>
      </w:r>
    </w:p>
    <w:p>
      <w:pPr>
        <w:pStyle w:val="6"/>
        <w:tabs>
          <w:tab w:val="left" w:pos="420"/>
        </w:tabs>
        <w:bidi w:val="0"/>
        <w:ind w:left="575" w:leftChars="0" w:hanging="575" w:firstLineChars="0"/>
        <w:outlineLvl w:val="2"/>
        <w:rPr>
          <w:rFonts w:hint="eastAsia"/>
          <w:lang w:val="en-US" w:eastAsia="zh-CN"/>
        </w:rPr>
      </w:pPr>
      <w:bookmarkStart w:id="109" w:name="_Toc27903"/>
      <w:bookmarkStart w:id="110" w:name="_Toc18247"/>
      <w:r>
        <w:rPr>
          <w:rFonts w:hint="eastAsia"/>
          <w:lang w:val="en-US" w:eastAsia="zh-CN"/>
        </w:rPr>
        <w:t>温度加速因子</w:t>
      </w:r>
      <w:bookmarkEnd w:id="109"/>
      <w:bookmarkEnd w:id="110"/>
    </w:p>
    <w:p>
      <w:pPr>
        <w:bidi w:val="0"/>
        <w:ind w:firstLine="480" w:firstLineChars="200"/>
        <w:rPr>
          <w:rFonts w:hint="eastAsia"/>
          <w:sz w:val="24"/>
          <w:szCs w:val="22"/>
          <w:lang w:val="en-US" w:eastAsia="zh-CN"/>
        </w:rPr>
      </w:pPr>
      <w:r>
        <w:rPr>
          <w:rFonts w:hint="default"/>
          <w:sz w:val="24"/>
          <w:szCs w:val="22"/>
          <w:lang w:val="en-US" w:eastAsia="zh-CN"/>
        </w:rPr>
        <w:t>温度的加速因子由Arrhenius模型计算</w:t>
      </w:r>
      <w:r>
        <w:rPr>
          <w:rFonts w:hint="eastAsia"/>
          <w:sz w:val="24"/>
          <w:szCs w:val="22"/>
          <w:lang w:val="en-US" w:eastAsia="zh-CN"/>
        </w:rPr>
        <w:t>：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position w:val="-34"/>
          <w:szCs w:val="21"/>
          <w:lang w:val="en-US" w:eastAsia="zh-CN"/>
        </w:rPr>
        <w:object>
          <v:shape id="_x0000_i1025" o:spt="75" type="#_x0000_t75" style="height:40pt;width:203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9">
            <o:LockedField>false</o:LockedField>
          </o:OLEObject>
        </w:object>
      </w:r>
    </w:p>
    <w:p>
      <w:pPr>
        <w:bidi w:val="0"/>
        <w:ind w:left="280" w:leftChars="100" w:firstLine="240" w:firstLineChars="10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其中，</w:t>
      </w:r>
      <w:r>
        <w:rPr>
          <w:rFonts w:hint="default"/>
          <w:sz w:val="24"/>
          <w:szCs w:val="22"/>
          <w:lang w:val="en-US" w:eastAsia="zh-CN"/>
        </w:rPr>
        <w:t xml:space="preserve"> L</w:t>
      </w:r>
      <w:r>
        <w:rPr>
          <w:rFonts w:hint="eastAsia"/>
          <w:sz w:val="24"/>
          <w:szCs w:val="22"/>
          <w:lang w:val="en-US" w:eastAsia="zh-CN"/>
        </w:rPr>
        <w:t xml:space="preserve"> </w:t>
      </w:r>
      <w:r>
        <w:rPr>
          <w:rFonts w:hint="default"/>
          <w:sz w:val="24"/>
          <w:szCs w:val="22"/>
          <w:vertAlign w:val="subscript"/>
          <w:lang w:val="en-US" w:eastAsia="zh-CN"/>
        </w:rPr>
        <w:t>normal</w:t>
      </w:r>
      <w:r>
        <w:rPr>
          <w:rFonts w:hint="default"/>
          <w:sz w:val="24"/>
          <w:szCs w:val="22"/>
          <w:lang w:val="en-US" w:eastAsia="zh-CN"/>
        </w:rPr>
        <w:t>为正常应力下的寿命，L</w:t>
      </w:r>
      <w:r>
        <w:rPr>
          <w:rFonts w:hint="eastAsia"/>
          <w:sz w:val="24"/>
          <w:szCs w:val="22"/>
          <w:lang w:val="en-US" w:eastAsia="zh-CN"/>
        </w:rPr>
        <w:t xml:space="preserve"> </w:t>
      </w:r>
      <w:r>
        <w:rPr>
          <w:rFonts w:hint="default"/>
          <w:sz w:val="24"/>
          <w:szCs w:val="22"/>
          <w:vertAlign w:val="subscript"/>
          <w:lang w:val="en-US" w:eastAsia="zh-CN"/>
        </w:rPr>
        <w:t>stress</w:t>
      </w:r>
      <w:r>
        <w:rPr>
          <w:rFonts w:hint="default"/>
          <w:sz w:val="24"/>
          <w:szCs w:val="22"/>
          <w:lang w:val="en-US" w:eastAsia="zh-CN"/>
        </w:rPr>
        <w:t>为高温下的寿命，T</w:t>
      </w:r>
      <w:r>
        <w:rPr>
          <w:rFonts w:hint="eastAsia"/>
          <w:sz w:val="24"/>
          <w:szCs w:val="22"/>
          <w:lang w:val="en-US" w:eastAsia="zh-CN"/>
        </w:rPr>
        <w:t xml:space="preserve"> </w:t>
      </w:r>
      <w:r>
        <w:rPr>
          <w:rFonts w:hint="default"/>
          <w:sz w:val="24"/>
          <w:szCs w:val="22"/>
          <w:vertAlign w:val="subscript"/>
          <w:lang w:val="en-US" w:eastAsia="zh-CN"/>
        </w:rPr>
        <w:t>normal</w:t>
      </w:r>
      <w:r>
        <w:rPr>
          <w:rFonts w:hint="default"/>
          <w:sz w:val="24"/>
          <w:szCs w:val="22"/>
          <w:lang w:val="en-US" w:eastAsia="zh-CN"/>
        </w:rPr>
        <w:t>为室温绝对</w:t>
      </w:r>
      <w:r>
        <w:rPr>
          <w:rFonts w:hint="eastAsia"/>
          <w:sz w:val="24"/>
          <w:szCs w:val="22"/>
          <w:lang w:val="en-US" w:eastAsia="zh-CN"/>
        </w:rPr>
        <w:t xml:space="preserve">温度，T </w:t>
      </w:r>
      <w:r>
        <w:rPr>
          <w:rFonts w:hint="default"/>
          <w:sz w:val="24"/>
          <w:szCs w:val="22"/>
          <w:vertAlign w:val="subscript"/>
          <w:lang w:val="en-US" w:eastAsia="zh-CN"/>
        </w:rPr>
        <w:t>stre</w:t>
      </w:r>
      <w:r>
        <w:rPr>
          <w:rFonts w:hint="eastAsia"/>
          <w:sz w:val="24"/>
          <w:szCs w:val="22"/>
          <w:vertAlign w:val="subscript"/>
          <w:lang w:val="en-US" w:eastAsia="zh-CN"/>
        </w:rPr>
        <w:t>s</w:t>
      </w:r>
      <w:r>
        <w:rPr>
          <w:rFonts w:hint="default"/>
          <w:sz w:val="24"/>
          <w:szCs w:val="22"/>
          <w:vertAlign w:val="subscript"/>
          <w:lang w:val="en-US" w:eastAsia="zh-CN"/>
        </w:rPr>
        <w:t>s</w:t>
      </w:r>
      <w:r>
        <w:rPr>
          <w:rFonts w:hint="eastAsia"/>
          <w:sz w:val="24"/>
          <w:szCs w:val="22"/>
          <w:lang w:val="en-US" w:eastAsia="zh-CN"/>
        </w:rPr>
        <w:t>为高温下的绝对温度，E</w:t>
      </w:r>
      <w:r>
        <w:rPr>
          <w:rFonts w:hint="eastAsia"/>
          <w:sz w:val="24"/>
          <w:szCs w:val="22"/>
          <w:vertAlign w:val="subscript"/>
          <w:lang w:val="en-US" w:eastAsia="zh-CN"/>
        </w:rPr>
        <w:t>a</w:t>
      </w:r>
      <w:r>
        <w:rPr>
          <w:rFonts w:hint="eastAsia"/>
          <w:sz w:val="24"/>
          <w:szCs w:val="22"/>
          <w:lang w:val="en-US" w:eastAsia="zh-CN"/>
        </w:rPr>
        <w:t>为失效反应的活化能（e</w:t>
      </w:r>
      <w:r>
        <w:rPr>
          <w:rFonts w:hint="eastAsia"/>
          <w:sz w:val="24"/>
          <w:szCs w:val="22"/>
          <w:vertAlign w:val="subscript"/>
          <w:lang w:val="en-US" w:eastAsia="zh-CN"/>
        </w:rPr>
        <w:t>V</w:t>
      </w:r>
      <w:r>
        <w:rPr>
          <w:rFonts w:hint="eastAsia"/>
          <w:sz w:val="24"/>
          <w:szCs w:val="22"/>
          <w:lang w:val="en-US" w:eastAsia="zh-CN"/>
        </w:rPr>
        <w:t>），k为Boltzmann常数，</w:t>
      </w:r>
      <w:r>
        <w:rPr>
          <w:rFonts w:hint="default"/>
          <w:sz w:val="24"/>
          <w:szCs w:val="22"/>
          <w:lang w:val="en-US" w:eastAsia="zh-CN"/>
        </w:rPr>
        <w:t>8.62×10-5</w:t>
      </w:r>
      <w:r>
        <w:rPr>
          <w:rFonts w:hint="eastAsia"/>
          <w:sz w:val="24"/>
          <w:szCs w:val="22"/>
          <w:lang w:val="en-US" w:eastAsia="zh-CN"/>
        </w:rPr>
        <w:t>e</w:t>
      </w:r>
      <w:r>
        <w:rPr>
          <w:rFonts w:hint="default"/>
          <w:sz w:val="24"/>
          <w:szCs w:val="22"/>
          <w:lang w:val="en-US" w:eastAsia="zh-CN"/>
        </w:rPr>
        <w:t>V/K，实践表明绝大多数</w:t>
      </w:r>
      <w:r>
        <w:rPr>
          <w:rFonts w:hint="eastAsia"/>
          <w:sz w:val="24"/>
          <w:szCs w:val="22"/>
          <w:lang w:val="en-US" w:eastAsia="zh-CN"/>
        </w:rPr>
        <w:t>材料</w:t>
      </w:r>
      <w:r>
        <w:rPr>
          <w:rFonts w:hint="default"/>
          <w:sz w:val="24"/>
          <w:szCs w:val="22"/>
          <w:lang w:val="en-US" w:eastAsia="zh-CN"/>
        </w:rPr>
        <w:t>的失效符合Arrhenius模型</w:t>
      </w:r>
      <w:r>
        <w:rPr>
          <w:rFonts w:hint="eastAsia"/>
          <w:sz w:val="24"/>
          <w:szCs w:val="22"/>
          <w:lang w:val="en-US" w:eastAsia="zh-CN"/>
        </w:rPr>
        <w:t>。</w:t>
      </w:r>
    </w:p>
    <w:p>
      <w:pPr>
        <w:pStyle w:val="6"/>
        <w:bidi w:val="0"/>
        <w:rPr>
          <w:rFonts w:hint="eastAsia"/>
          <w:lang w:val="en-US" w:eastAsia="zh-CN"/>
        </w:rPr>
      </w:pPr>
      <w:bookmarkStart w:id="111" w:name="_Toc19986"/>
      <w:bookmarkStart w:id="112" w:name="_Toc22887"/>
      <w:r>
        <w:rPr>
          <w:rFonts w:hint="eastAsia"/>
          <w:lang w:val="en-US" w:eastAsia="zh-CN"/>
        </w:rPr>
        <w:t>湿度加速因子</w:t>
      </w:r>
      <w:bookmarkEnd w:id="111"/>
      <w:bookmarkEnd w:id="112"/>
    </w:p>
    <w:p>
      <w:pPr>
        <w:bidi w:val="0"/>
        <w:ind w:firstLine="42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湿度的加速因子由Hallberg和Peck模型计算：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position w:val="-32"/>
          <w:szCs w:val="21"/>
          <w:lang w:val="en-US" w:eastAsia="zh-CN"/>
        </w:rPr>
        <w:object>
          <v:shape id="_x0000_i1026" o:spt="75" type="#_x0000_t75" style="height:40pt;width:1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1">
            <o:LockedField>false</o:LockedField>
          </o:OLEObject>
        </w:object>
      </w:r>
    </w:p>
    <w:p>
      <w:pPr>
        <w:bidi w:val="0"/>
        <w:ind w:firstLine="42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其中，RH</w:t>
      </w:r>
      <w:r>
        <w:rPr>
          <w:rFonts w:hint="eastAsia"/>
          <w:sz w:val="24"/>
          <w:szCs w:val="22"/>
          <w:vertAlign w:val="subscript"/>
          <w:lang w:val="en-US" w:eastAsia="zh-CN"/>
        </w:rPr>
        <w:t xml:space="preserve"> stress</w:t>
      </w:r>
      <w:r>
        <w:rPr>
          <w:rFonts w:hint="eastAsia"/>
          <w:sz w:val="24"/>
          <w:szCs w:val="22"/>
          <w:lang w:val="en-US" w:eastAsia="zh-CN"/>
        </w:rPr>
        <w:t>为加速试验相对湿度，RH</w:t>
      </w:r>
      <w:r>
        <w:rPr>
          <w:rFonts w:hint="eastAsia"/>
          <w:sz w:val="24"/>
          <w:szCs w:val="22"/>
          <w:vertAlign w:val="subscript"/>
          <w:lang w:val="en-US" w:eastAsia="zh-CN"/>
        </w:rPr>
        <w:t xml:space="preserve"> normal</w:t>
      </w:r>
      <w:r>
        <w:rPr>
          <w:rFonts w:hint="eastAsia"/>
          <w:sz w:val="24"/>
          <w:szCs w:val="22"/>
          <w:lang w:val="en-US" w:eastAsia="zh-CN"/>
        </w:rPr>
        <w:t>为正常工作相对湿度，n为湿度的加速率常数，不同的失效类型对应不同的值，一般介于2-3之间。</w:t>
      </w:r>
    </w:p>
    <w:p>
      <w:pPr>
        <w:bidi w:val="0"/>
        <w:ind w:firstLine="42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温度变化加速因子</w:t>
      </w:r>
    </w:p>
    <w:p>
      <w:pPr>
        <w:bidi w:val="0"/>
        <w:ind w:firstLine="42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温度的加速因子由Coffin-Mason公式计算：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position w:val="-30"/>
          <w:szCs w:val="21"/>
          <w:lang w:val="en-US" w:eastAsia="zh-CN"/>
        </w:rPr>
        <w:object>
          <v:shape id="_x0000_i1027" o:spt="75" type="#_x0000_t75" style="height:34pt;width:90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3">
            <o:LockedField>false</o:LockedField>
          </o:OLEObject>
        </w:object>
      </w:r>
    </w:p>
    <w:p>
      <w:pPr>
        <w:bidi w:val="0"/>
        <w:ind w:firstLine="420" w:firstLineChars="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其中，△T</w:t>
      </w:r>
      <w:r>
        <w:rPr>
          <w:rFonts w:hint="eastAsia"/>
          <w:sz w:val="24"/>
          <w:szCs w:val="22"/>
          <w:vertAlign w:val="subscript"/>
          <w:lang w:val="en-US" w:eastAsia="zh-CN"/>
        </w:rPr>
        <w:t xml:space="preserve"> stress</w:t>
      </w:r>
      <w:r>
        <w:rPr>
          <w:rFonts w:hint="eastAsia"/>
          <w:sz w:val="24"/>
          <w:szCs w:val="22"/>
          <w:lang w:val="en-US" w:eastAsia="zh-CN"/>
        </w:rPr>
        <w:t>为加速试验下的温度变化，△T</w:t>
      </w:r>
      <w:r>
        <w:rPr>
          <w:rFonts w:hint="eastAsia"/>
          <w:sz w:val="24"/>
          <w:szCs w:val="22"/>
          <w:vertAlign w:val="subscript"/>
          <w:lang w:val="en-US" w:eastAsia="zh-CN"/>
        </w:rPr>
        <w:t xml:space="preserve"> normal</w:t>
      </w:r>
      <w:r>
        <w:rPr>
          <w:rFonts w:hint="eastAsia"/>
          <w:sz w:val="24"/>
          <w:szCs w:val="22"/>
          <w:lang w:val="en-US" w:eastAsia="zh-CN"/>
        </w:rPr>
        <w:t>为正常应力下的温度变化，n为温度变化的加速率常数，不同的失效类型对应不同的值，一般介于4-8之间。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13" w:name="_Toc7809"/>
      <w:r>
        <w:rPr>
          <w:rFonts w:hint="eastAsia"/>
          <w:lang w:val="en-US" w:eastAsia="zh-CN"/>
        </w:rPr>
        <w:t>验证方法</w:t>
      </w:r>
      <w:bookmarkEnd w:id="113"/>
    </w:p>
    <w:p>
      <w:pPr>
        <w:ind w:firstLine="480" w:firstLineChars="200"/>
        <w:rPr>
          <w:rFonts w:hint="eastAsia" w:eastAsia="宋体" w:asciiTheme="minorAscii" w:hAnsiTheme="minorAscii" w:cstheme="minorBidi"/>
          <w:sz w:val="24"/>
          <w:szCs w:val="22"/>
          <w:lang w:val="en-US" w:eastAsia="zh-CN"/>
        </w:rPr>
      </w:pPr>
      <w:r>
        <w:rPr>
          <w:rFonts w:hint="eastAsia" w:eastAsia="宋体" w:asciiTheme="minorAscii" w:hAnsiTheme="minorAscii" w:cstheme="minorBidi"/>
          <w:sz w:val="24"/>
          <w:szCs w:val="22"/>
          <w:lang w:val="en-US" w:eastAsia="zh-CN"/>
        </w:rPr>
        <w:t>影响MS-001外壳使用寿命的环境因素主要为温度和湿度，本试验采用最弱链条的失效模型，通过提高试验温度和湿度来考核产品的使用寿命。在75℃、80%RH下做加速寿命测试，故其加速因子应为温度加速因子和湿度加速因子的乘积，计算如下：</w:t>
      </w:r>
    </w:p>
    <w:p>
      <w:pPr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34"/>
          <w:sz w:val="24"/>
          <w:szCs w:val="24"/>
          <w:lang w:eastAsia="zh-CN"/>
        </w:rPr>
        <w:object>
          <v:shape id="_x0000_i1028" o:spt="75" type="#_x0000_t75" style="height:41pt;width:28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5">
            <o:LockedField>false</o:LockedField>
          </o:OLEObject>
        </w:object>
      </w:r>
    </w:p>
    <w:p>
      <w:pPr>
        <w:bidi w:val="0"/>
        <w:ind w:firstLine="480" w:firstLineChars="200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计划在</w:t>
      </w:r>
      <w:r>
        <w:rPr>
          <w:rFonts w:hint="default"/>
          <w:sz w:val="24"/>
          <w:szCs w:val="22"/>
          <w:lang w:val="en-US" w:eastAsia="zh-CN"/>
        </w:rPr>
        <w:t>75℃、8</w:t>
      </w:r>
      <w:r>
        <w:rPr>
          <w:rFonts w:hint="eastAsia"/>
          <w:sz w:val="24"/>
          <w:szCs w:val="22"/>
          <w:lang w:val="en-US" w:eastAsia="zh-CN"/>
        </w:rPr>
        <w:t>0</w:t>
      </w:r>
      <w:r>
        <w:rPr>
          <w:rFonts w:hint="default"/>
          <w:sz w:val="24"/>
          <w:szCs w:val="22"/>
          <w:lang w:val="en-US" w:eastAsia="zh-CN"/>
        </w:rPr>
        <w:t>%RH</w:t>
      </w:r>
      <w:r>
        <w:rPr>
          <w:rFonts w:hint="eastAsia"/>
          <w:sz w:val="24"/>
          <w:szCs w:val="22"/>
          <w:lang w:val="en-US" w:eastAsia="zh-CN"/>
        </w:rPr>
        <w:t>恒温恒湿环境</w:t>
      </w:r>
      <w:r>
        <w:rPr>
          <w:rFonts w:hint="default"/>
          <w:sz w:val="24"/>
          <w:szCs w:val="22"/>
          <w:lang w:val="en-US" w:eastAsia="zh-CN"/>
        </w:rPr>
        <w:t>下做加速寿命测试，故其加速因子应为温度加速因子和湿度加速因子的乘积，计算如下：其中，E</w:t>
      </w:r>
      <w:r>
        <w:rPr>
          <w:rFonts w:hint="default"/>
          <w:sz w:val="24"/>
          <w:szCs w:val="22"/>
          <w:vertAlign w:val="subscript"/>
          <w:lang w:val="en-US" w:eastAsia="zh-CN"/>
        </w:rPr>
        <w:t>a</w:t>
      </w:r>
      <w:r>
        <w:rPr>
          <w:rFonts w:hint="default"/>
          <w:sz w:val="24"/>
          <w:szCs w:val="22"/>
          <w:lang w:val="en-US" w:eastAsia="zh-CN"/>
        </w:rPr>
        <w:t>为激活能（e</w:t>
      </w:r>
      <w:r>
        <w:rPr>
          <w:rFonts w:hint="default"/>
          <w:sz w:val="24"/>
          <w:szCs w:val="22"/>
          <w:vertAlign w:val="subscript"/>
          <w:lang w:val="en-US" w:eastAsia="zh-CN"/>
        </w:rPr>
        <w:t>V</w:t>
      </w:r>
      <w:r>
        <w:rPr>
          <w:rFonts w:hint="default"/>
          <w:sz w:val="24"/>
          <w:szCs w:val="22"/>
          <w:lang w:val="en-US" w:eastAsia="zh-CN"/>
        </w:rPr>
        <w:t>）一般情</w:t>
      </w:r>
      <w:r>
        <w:rPr>
          <w:rFonts w:hint="eastAsia"/>
          <w:sz w:val="24"/>
          <w:szCs w:val="22"/>
          <w:lang w:val="en-US" w:eastAsia="zh-CN"/>
        </w:rPr>
        <w:t>况</w:t>
      </w:r>
      <w:r>
        <w:rPr>
          <w:rFonts w:hint="default"/>
          <w:sz w:val="24"/>
          <w:szCs w:val="22"/>
          <w:lang w:val="en-US" w:eastAsia="zh-CN"/>
        </w:rPr>
        <w:t>k为玻尔兹曼常数且k=8.6×10</w:t>
      </w:r>
      <w:r>
        <w:rPr>
          <w:rFonts w:hint="eastAsia"/>
          <w:sz w:val="24"/>
          <w:szCs w:val="22"/>
          <w:lang w:val="en-US" w:eastAsia="zh-CN"/>
        </w:rPr>
        <w:t>^</w:t>
      </w:r>
      <w:r>
        <w:rPr>
          <w:rFonts w:hint="default"/>
          <w:sz w:val="24"/>
          <w:szCs w:val="22"/>
          <w:lang w:val="en-US" w:eastAsia="zh-CN"/>
        </w:rPr>
        <w:t>-5eV/K，T为绝对温度（单位</w:t>
      </w:r>
      <w:r>
        <w:rPr>
          <w:rFonts w:hint="eastAsia"/>
          <w:sz w:val="24"/>
          <w:szCs w:val="22"/>
          <w:lang w:val="en-US" w:eastAsia="zh-CN"/>
        </w:rPr>
        <w:t>K</w:t>
      </w:r>
      <w:r>
        <w:rPr>
          <w:rFonts w:hint="default"/>
          <w:sz w:val="24"/>
          <w:szCs w:val="22"/>
          <w:lang w:val="en-US" w:eastAsia="zh-CN"/>
        </w:rPr>
        <w:t>）、</w:t>
      </w:r>
      <w:r>
        <w:rPr>
          <w:rFonts w:hint="eastAsia"/>
          <w:sz w:val="24"/>
          <w:szCs w:val="22"/>
          <w:lang w:val="en-US" w:eastAsia="zh-CN"/>
        </w:rPr>
        <w:t>R</w:t>
      </w:r>
      <w:r>
        <w:rPr>
          <w:rFonts w:hint="default"/>
          <w:sz w:val="24"/>
          <w:szCs w:val="22"/>
          <w:lang w:val="en-US" w:eastAsia="zh-CN"/>
        </w:rPr>
        <w:t>H为相对湿度（单位%）</w:t>
      </w:r>
      <w:r>
        <w:rPr>
          <w:rFonts w:hint="eastAsia"/>
          <w:sz w:val="24"/>
          <w:szCs w:val="22"/>
          <w:lang w:val="en-US" w:eastAsia="zh-CN"/>
        </w:rPr>
        <w:t>，</w:t>
      </w:r>
      <w:r>
        <w:rPr>
          <w:rFonts w:hint="default"/>
          <w:sz w:val="24"/>
          <w:szCs w:val="22"/>
          <w:lang w:val="en-US" w:eastAsia="zh-CN"/>
        </w:rPr>
        <w:t>n取为2。根据产品的特性，取E</w:t>
      </w:r>
      <w:r>
        <w:rPr>
          <w:rFonts w:hint="default"/>
          <w:sz w:val="24"/>
          <w:szCs w:val="22"/>
          <w:vertAlign w:val="subscript"/>
          <w:lang w:val="en-US" w:eastAsia="zh-CN"/>
        </w:rPr>
        <w:t>a</w:t>
      </w:r>
      <w:r>
        <w:rPr>
          <w:rFonts w:hint="default"/>
          <w:sz w:val="24"/>
          <w:szCs w:val="22"/>
          <w:lang w:val="en-US" w:eastAsia="zh-CN"/>
        </w:rPr>
        <w:t>为0.</w:t>
      </w:r>
      <w:r>
        <w:rPr>
          <w:rFonts w:hint="eastAsia"/>
          <w:sz w:val="24"/>
          <w:szCs w:val="22"/>
          <w:lang w:val="en-US" w:eastAsia="zh-CN"/>
        </w:rPr>
        <w:t>7</w:t>
      </w:r>
      <w:r>
        <w:rPr>
          <w:rFonts w:hint="default"/>
          <w:sz w:val="24"/>
          <w:szCs w:val="22"/>
          <w:lang w:val="en-US" w:eastAsia="zh-CN"/>
        </w:rPr>
        <w:t>e</w:t>
      </w:r>
      <w:r>
        <w:rPr>
          <w:rFonts w:hint="default"/>
          <w:sz w:val="24"/>
          <w:szCs w:val="22"/>
          <w:vertAlign w:val="subscript"/>
          <w:lang w:val="en-US" w:eastAsia="zh-CN"/>
        </w:rPr>
        <w:t>V</w:t>
      </w:r>
      <w:r>
        <w:rPr>
          <w:rFonts w:hint="default"/>
          <w:sz w:val="24"/>
          <w:szCs w:val="22"/>
          <w:lang w:val="en-US" w:eastAsia="zh-CN"/>
        </w:rPr>
        <w:t>，室温取为25℃、75%RH，把上述数据带入计算，求AF=</w:t>
      </w:r>
      <w:r>
        <w:rPr>
          <w:rFonts w:hint="eastAsia"/>
          <w:sz w:val="24"/>
          <w:szCs w:val="22"/>
          <w:lang w:val="en-US" w:eastAsia="zh-CN"/>
        </w:rPr>
        <w:t>55.23.</w:t>
      </w:r>
      <w:r>
        <w:rPr>
          <w:rFonts w:hint="default"/>
          <w:sz w:val="24"/>
          <w:szCs w:val="22"/>
          <w:lang w:val="en-US" w:eastAsia="zh-CN"/>
        </w:rPr>
        <w:t>，即在75℃、8</w:t>
      </w:r>
      <w:r>
        <w:rPr>
          <w:rFonts w:hint="eastAsia"/>
          <w:sz w:val="24"/>
          <w:szCs w:val="22"/>
          <w:lang w:val="en-US" w:eastAsia="zh-CN"/>
        </w:rPr>
        <w:t>0</w:t>
      </w:r>
      <w:r>
        <w:rPr>
          <w:rFonts w:hint="default"/>
          <w:sz w:val="24"/>
          <w:szCs w:val="22"/>
          <w:lang w:val="en-US" w:eastAsia="zh-CN"/>
        </w:rPr>
        <w:t>%RH下做1小时试验相当于室温下寿命约</w:t>
      </w:r>
      <w:r>
        <w:rPr>
          <w:rFonts w:hint="eastAsia"/>
          <w:sz w:val="24"/>
          <w:szCs w:val="22"/>
          <w:lang w:val="en-US" w:eastAsia="zh-CN"/>
        </w:rPr>
        <w:t>55.23</w:t>
      </w:r>
      <w:r>
        <w:rPr>
          <w:rFonts w:hint="default"/>
          <w:sz w:val="24"/>
          <w:szCs w:val="22"/>
          <w:lang w:val="en-US" w:eastAsia="zh-CN"/>
        </w:rPr>
        <w:t>小时</w:t>
      </w:r>
      <w:r>
        <w:rPr>
          <w:rFonts w:hint="eastAsia"/>
          <w:sz w:val="24"/>
          <w:szCs w:val="22"/>
          <w:lang w:val="en-US" w:eastAsia="zh-CN"/>
        </w:rPr>
        <w:t>。</w:t>
      </w:r>
    </w:p>
    <w:p>
      <w:pPr>
        <w:bidi w:val="0"/>
        <w:ind w:firstLine="480" w:firstLineChars="20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MS-001的外壳设计有效期为8年，试验按10年进行，在10年有效期内</w:t>
      </w:r>
      <w:r>
        <w:rPr>
          <w:rFonts w:hint="default"/>
          <w:sz w:val="24"/>
          <w:szCs w:val="22"/>
          <w:lang w:val="en-US" w:eastAsia="zh-CN"/>
        </w:rPr>
        <w:t>的工作时间</w:t>
      </w:r>
      <w:r>
        <w:rPr>
          <w:rFonts w:hint="eastAsia"/>
          <w:sz w:val="24"/>
          <w:szCs w:val="22"/>
          <w:lang w:val="en-US" w:eastAsia="zh-CN"/>
        </w:rPr>
        <w:t>约</w:t>
      </w:r>
      <w:r>
        <w:rPr>
          <w:rFonts w:hint="default"/>
          <w:sz w:val="24"/>
          <w:szCs w:val="22"/>
          <w:lang w:val="en-US" w:eastAsia="zh-CN"/>
        </w:rPr>
        <w:t>为</w:t>
      </w:r>
      <w:r>
        <w:rPr>
          <w:rFonts w:hint="eastAsia"/>
          <w:sz w:val="24"/>
          <w:szCs w:val="22"/>
          <w:lang w:val="en-US" w:eastAsia="zh-CN"/>
        </w:rPr>
        <w:t>24*365*10</w:t>
      </w:r>
      <w:r>
        <w:rPr>
          <w:rFonts w:hint="default"/>
          <w:sz w:val="24"/>
          <w:szCs w:val="22"/>
          <w:lang w:val="en-US" w:eastAsia="zh-CN"/>
        </w:rPr>
        <w:t>=</w:t>
      </w:r>
      <w:r>
        <w:rPr>
          <w:rFonts w:hint="eastAsia"/>
          <w:sz w:val="24"/>
          <w:szCs w:val="22"/>
          <w:lang w:val="en-US" w:eastAsia="zh-CN"/>
        </w:rPr>
        <w:t>87600小时</w:t>
      </w:r>
      <w:r>
        <w:rPr>
          <w:rFonts w:hint="default"/>
          <w:sz w:val="24"/>
          <w:szCs w:val="22"/>
          <w:lang w:val="en-US" w:eastAsia="zh-CN"/>
        </w:rPr>
        <w:t>。</w:t>
      </w:r>
      <w:r>
        <w:rPr>
          <w:rFonts w:hint="eastAsia"/>
          <w:sz w:val="24"/>
          <w:szCs w:val="22"/>
          <w:lang w:val="en-US" w:eastAsia="zh-CN"/>
        </w:rPr>
        <w:t>加速试验时间约为87600/55.23/24≈66天。</w:t>
      </w:r>
    </w:p>
    <w:p>
      <w:pPr>
        <w:bidi w:val="0"/>
        <w:ind w:firstLine="480" w:firstLineChars="20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 xml:space="preserve"> 由于MS-001的台车体积比较大，整个台车外壳放入高低温箱进行试验，可操作性不好，因此选取一块外壳进行试验。本次</w:t>
      </w:r>
      <w:r>
        <w:rPr>
          <w:rFonts w:hint="default"/>
          <w:sz w:val="24"/>
          <w:szCs w:val="22"/>
          <w:lang w:val="en-US" w:eastAsia="zh-CN"/>
        </w:rPr>
        <w:t>试验</w:t>
      </w:r>
      <w:r>
        <w:rPr>
          <w:rFonts w:hint="eastAsia"/>
          <w:sz w:val="24"/>
          <w:szCs w:val="22"/>
          <w:lang w:val="en-US" w:eastAsia="zh-CN"/>
        </w:rPr>
        <w:t>采用MS-001导航台车的检修盖作为试验样品，放入高低温试验箱</w:t>
      </w:r>
      <w:r>
        <w:rPr>
          <w:rFonts w:hint="default"/>
          <w:sz w:val="24"/>
          <w:szCs w:val="22"/>
          <w:lang w:val="en-US" w:eastAsia="zh-CN"/>
        </w:rPr>
        <w:t>进行</w:t>
      </w:r>
      <w:r>
        <w:rPr>
          <w:rFonts w:hint="eastAsia"/>
          <w:sz w:val="24"/>
          <w:szCs w:val="22"/>
          <w:lang w:val="en-US" w:eastAsia="zh-CN"/>
        </w:rPr>
        <w:t>恒温恒湿</w:t>
      </w:r>
      <w:r>
        <w:rPr>
          <w:rFonts w:hint="default"/>
          <w:sz w:val="24"/>
          <w:szCs w:val="22"/>
          <w:lang w:val="en-US" w:eastAsia="zh-CN"/>
        </w:rPr>
        <w:t>寿命试验</w:t>
      </w:r>
      <w:r>
        <w:rPr>
          <w:rFonts w:hint="eastAsia"/>
          <w:sz w:val="24"/>
          <w:szCs w:val="22"/>
          <w:lang w:val="en-US" w:eastAsia="zh-CN"/>
        </w:rPr>
        <w:t>，高低温试验结束后作</w:t>
      </w:r>
      <w:r>
        <w:rPr>
          <w:rFonts w:hint="eastAsia"/>
          <w:b/>
          <w:bCs/>
          <w:sz w:val="24"/>
          <w:szCs w:val="22"/>
          <w:lang w:val="en-US" w:eastAsia="zh-CN"/>
        </w:rPr>
        <w:t>外观检查、油漆耐擦拭</w:t>
      </w:r>
      <w:r>
        <w:rPr>
          <w:rFonts w:hint="eastAsia"/>
          <w:sz w:val="24"/>
          <w:szCs w:val="22"/>
          <w:lang w:val="en-US" w:eastAsia="zh-CN"/>
        </w:rPr>
        <w:t>和</w:t>
      </w:r>
      <w:r>
        <w:rPr>
          <w:rFonts w:hint="eastAsia"/>
          <w:b/>
          <w:bCs/>
          <w:sz w:val="24"/>
          <w:szCs w:val="22"/>
          <w:lang w:val="en-US" w:eastAsia="zh-CN"/>
        </w:rPr>
        <w:t>机械强度测试</w:t>
      </w:r>
      <w:r>
        <w:rPr>
          <w:rFonts w:hint="eastAsia"/>
          <w:sz w:val="24"/>
          <w:szCs w:val="22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ind w:leftChars="0" w:firstLine="56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外观检查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加速老化实验结束后，检查外观有无油漆剥落、有没有结构裂纹和变形等。</w:t>
      </w:r>
    </w:p>
    <w:p>
      <w:pPr>
        <w:numPr>
          <w:ilvl w:val="0"/>
          <w:numId w:val="0"/>
        </w:numPr>
        <w:bidi w:val="0"/>
        <w:ind w:firstLine="56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尺寸检查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测量试验前后的长宽高尺寸，并在试验后作实配检查，确认是否可以正常装配。</w:t>
      </w:r>
    </w:p>
    <w:p>
      <w:pPr>
        <w:pStyle w:val="2"/>
        <w:ind w:left="0" w:leftChars="0" w:firstLine="56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导电漆测试</w:t>
      </w:r>
    </w:p>
    <w:p>
      <w:pPr>
        <w:ind w:left="0" w:leftChars="0" w:firstLine="480" w:firstLineChars="200"/>
        <w:rPr>
          <w:rFonts w:hint="eastAsia"/>
          <w:sz w:val="24"/>
          <w:szCs w:val="22"/>
          <w:lang w:val="en-US" w:eastAsia="zh-CN"/>
        </w:rPr>
      </w:pPr>
      <w:r>
        <w:rPr>
          <w:rFonts w:hint="default"/>
          <w:sz w:val="24"/>
          <w:szCs w:val="22"/>
          <w:lang w:val="en-US" w:eastAsia="zh-CN"/>
        </w:rPr>
        <w:t>使用万用表，在外壳内表面，任意找5个位置，作导电率测试</w:t>
      </w:r>
      <w:r>
        <w:rPr>
          <w:rFonts w:hint="eastAsia"/>
          <w:sz w:val="24"/>
          <w:szCs w:val="22"/>
          <w:lang w:val="en-US" w:eastAsia="zh-CN"/>
        </w:rPr>
        <w:t>，</w:t>
      </w:r>
      <w:r>
        <w:rPr>
          <w:rFonts w:hint="eastAsia"/>
          <w:sz w:val="24"/>
          <w:szCs w:val="22"/>
          <w:highlight w:val="none"/>
          <w:shd w:val="clear" w:color="auto" w:fill="auto"/>
          <w:lang w:val="en-US" w:eastAsia="zh-CN"/>
        </w:rPr>
        <w:t>使用表面电阻率测试仪测量导电漆性能，漆表面电阻范围应在10</w:t>
      </w:r>
      <w:r>
        <w:rPr>
          <w:rFonts w:hint="eastAsia"/>
          <w:sz w:val="24"/>
          <w:szCs w:val="22"/>
          <w:highlight w:val="none"/>
          <w:shd w:val="clear" w:color="auto" w:fill="auto"/>
          <w:vertAlign w:val="superscript"/>
          <w:lang w:val="en-US" w:eastAsia="zh-CN"/>
        </w:rPr>
        <w:t>3</w:t>
      </w:r>
      <w:r>
        <w:rPr>
          <w:rFonts w:hint="eastAsia"/>
          <w:sz w:val="24"/>
          <w:szCs w:val="22"/>
          <w:highlight w:val="none"/>
          <w:shd w:val="clear" w:color="auto" w:fill="auto"/>
          <w:lang w:val="en-US" w:eastAsia="zh-CN"/>
        </w:rPr>
        <w:t>~10</w:t>
      </w:r>
      <w:r>
        <w:rPr>
          <w:rFonts w:hint="eastAsia"/>
          <w:sz w:val="24"/>
          <w:szCs w:val="22"/>
          <w:highlight w:val="none"/>
          <w:shd w:val="clear" w:color="auto" w:fill="auto"/>
          <w:vertAlign w:val="superscript"/>
          <w:lang w:val="en-US" w:eastAsia="zh-CN"/>
        </w:rPr>
        <w:t>5</w:t>
      </w:r>
      <w:r>
        <w:rPr>
          <w:rFonts w:hint="eastAsia"/>
          <w:sz w:val="24"/>
          <w:szCs w:val="22"/>
          <w:highlight w:val="none"/>
          <w:shd w:val="clear" w:color="auto" w:fill="auto"/>
          <w:lang w:val="en-US" w:eastAsia="zh-CN"/>
        </w:rPr>
        <w:t>之间</w:t>
      </w:r>
      <w:r>
        <w:rPr>
          <w:rFonts w:hint="default"/>
          <w:sz w:val="24"/>
          <w:szCs w:val="22"/>
          <w:lang w:val="en-US" w:eastAsia="zh-CN"/>
        </w:rPr>
        <w:t>。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油漆耐擦拭检查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>加速老化实验结束后，在样件外表面任意均匀选择5处，作油漆耐擦拭试验。</w:t>
      </w:r>
    </w:p>
    <w:p>
      <w:pPr>
        <w:bidi w:val="0"/>
        <w:ind w:firstLine="480" w:firstLineChars="200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>油漆耐擦拭试验，</w:t>
      </w:r>
      <w:r>
        <w:rPr>
          <w:rFonts w:hint="default"/>
          <w:b w:val="0"/>
          <w:bCs w:val="0"/>
          <w:sz w:val="24"/>
          <w:szCs w:val="22"/>
          <w:lang w:eastAsia="zh-CN"/>
        </w:rPr>
        <w:t>用纯棉布蘸满无水酒精（浓度≥98 %）,包在专用的500g 的砝码头上,以20mm 左右的行程,在样本表面来回擦拭30个循环</w:t>
      </w:r>
      <w:r>
        <w:rPr>
          <w:rFonts w:hint="eastAsia"/>
          <w:b w:val="0"/>
          <w:bCs w:val="0"/>
          <w:sz w:val="24"/>
          <w:szCs w:val="22"/>
          <w:lang w:eastAsia="zh-CN"/>
        </w:rPr>
        <w:t>。</w:t>
      </w:r>
    </w:p>
    <w:p>
      <w:pPr>
        <w:numPr>
          <w:ilvl w:val="0"/>
          <w:numId w:val="0"/>
        </w:numPr>
        <w:bidi w:val="0"/>
        <w:ind w:leftChars="0" w:firstLine="56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机械强度检测</w:t>
      </w:r>
    </w:p>
    <w:p>
      <w:pPr>
        <w:bidi w:val="0"/>
        <w:ind w:firstLine="480" w:firstLineChars="20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  <w:lang w:val="en-US" w:eastAsia="zh-CN"/>
        </w:rPr>
        <w:t>机械强度测试时，将</w:t>
      </w:r>
      <w:r>
        <w:rPr>
          <w:rFonts w:hint="eastAsia"/>
          <w:sz w:val="24"/>
          <w:szCs w:val="22"/>
        </w:rPr>
        <w:t>试样以其正常的</w:t>
      </w:r>
      <w:r>
        <w:rPr>
          <w:rFonts w:hint="eastAsia"/>
          <w:sz w:val="24"/>
          <w:szCs w:val="22"/>
          <w:lang w:val="en-US" w:eastAsia="zh-CN"/>
        </w:rPr>
        <w:t>安装方式</w:t>
      </w:r>
      <w:r>
        <w:rPr>
          <w:rFonts w:hint="eastAsia"/>
          <w:sz w:val="24"/>
          <w:szCs w:val="22"/>
        </w:rPr>
        <w:t>支撑。</w:t>
      </w:r>
      <w:r>
        <w:rPr>
          <w:rFonts w:hint="eastAsia"/>
          <w:sz w:val="24"/>
          <w:szCs w:val="22"/>
          <w:lang w:val="en-US" w:eastAsia="zh-CN"/>
        </w:rPr>
        <w:t>将</w:t>
      </w:r>
      <w:r>
        <w:rPr>
          <w:rFonts w:hint="eastAsia"/>
          <w:sz w:val="24"/>
          <w:szCs w:val="22"/>
        </w:rPr>
        <w:t>一个直径约50mm、质量500g±25g</w:t>
      </w:r>
      <w:r>
        <w:rPr>
          <w:rFonts w:hint="eastAsia"/>
          <w:sz w:val="24"/>
          <w:szCs w:val="22"/>
          <w:lang w:val="en-US" w:eastAsia="zh-CN"/>
        </w:rPr>
        <w:t>的</w:t>
      </w:r>
      <w:r>
        <w:rPr>
          <w:rFonts w:hint="eastAsia"/>
          <w:sz w:val="24"/>
          <w:szCs w:val="22"/>
        </w:rPr>
        <w:t>钢球</w:t>
      </w:r>
      <w:r>
        <w:rPr>
          <w:rFonts w:hint="eastAsia"/>
          <w:sz w:val="24"/>
          <w:szCs w:val="22"/>
          <w:lang w:eastAsia="zh-CN"/>
        </w:rPr>
        <w:t>，</w:t>
      </w:r>
      <w:r>
        <w:rPr>
          <w:rFonts w:hint="eastAsia"/>
          <w:sz w:val="24"/>
          <w:szCs w:val="22"/>
        </w:rPr>
        <w:t>用线绳悬吊起来</w:t>
      </w:r>
      <w:r>
        <w:rPr>
          <w:rFonts w:hint="eastAsia"/>
          <w:sz w:val="24"/>
          <w:szCs w:val="22"/>
          <w:lang w:eastAsia="zh-CN"/>
        </w:rPr>
        <w:t>，</w:t>
      </w:r>
      <w:r>
        <w:rPr>
          <w:rFonts w:hint="eastAsia"/>
          <w:sz w:val="24"/>
          <w:szCs w:val="22"/>
        </w:rPr>
        <w:t>并使其像钟摆一样做水平冲击,从垂直距离为1.3m 处摆落下来至试样</w:t>
      </w:r>
      <w:r>
        <w:rPr>
          <w:rFonts w:hint="eastAsia"/>
          <w:sz w:val="24"/>
          <w:szCs w:val="22"/>
          <w:lang w:val="en-US" w:eastAsia="zh-CN"/>
        </w:rPr>
        <w:t>表面</w:t>
      </w:r>
      <w:r>
        <w:rPr>
          <w:rFonts w:hint="eastAsia"/>
          <w:sz w:val="24"/>
          <w:szCs w:val="22"/>
        </w:rPr>
        <w:t>部分</w:t>
      </w:r>
      <w:r>
        <w:rPr>
          <w:rFonts w:hint="eastAsia"/>
          <w:sz w:val="24"/>
          <w:szCs w:val="22"/>
          <w:lang w:val="en-US" w:eastAsia="zh-CN"/>
        </w:rPr>
        <w:t>两次</w:t>
      </w:r>
      <w:r>
        <w:rPr>
          <w:rFonts w:hint="eastAsia"/>
          <w:sz w:val="24"/>
          <w:szCs w:val="22"/>
        </w:rPr>
        <w:t>。</w:t>
      </w:r>
    </w:p>
    <w:p>
      <w:pPr>
        <w:bidi w:val="0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以上检测，根据第三章的可接受准测进行判定，符合可接受准则，试验通过，否则不通过。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14" w:name="_Toc24951"/>
      <w:r>
        <w:rPr>
          <w:rFonts w:hint="eastAsia"/>
          <w:lang w:val="en-US" w:eastAsia="zh-CN"/>
        </w:rPr>
        <w:t>测试步骤</w:t>
      </w:r>
      <w:bookmarkEnd w:id="114"/>
    </w:p>
    <w:p>
      <w:pPr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详细验证试验的步骤如下：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sz w:val="24"/>
          <w:szCs w:val="22"/>
          <w:highlight w:val="none"/>
          <w:lang w:val="en-US" w:eastAsia="zh-CN"/>
        </w:rPr>
      </w:pPr>
      <w:r>
        <w:rPr>
          <w:rFonts w:hint="eastAsia"/>
          <w:sz w:val="24"/>
          <w:szCs w:val="22"/>
          <w:highlight w:val="none"/>
          <w:lang w:val="en-US" w:eastAsia="zh-CN"/>
        </w:rPr>
        <w:t>测量样件的长宽高尺寸，记录在《MS-001外壳加速寿命测试记录表》；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sz w:val="24"/>
          <w:szCs w:val="22"/>
          <w:highlight w:val="none"/>
          <w:lang w:val="en-US" w:eastAsia="zh-CN"/>
        </w:rPr>
      </w:pPr>
      <w:r>
        <w:rPr>
          <w:rFonts w:hint="eastAsia"/>
          <w:sz w:val="24"/>
          <w:szCs w:val="22"/>
          <w:highlight w:val="none"/>
          <w:lang w:val="en-US" w:eastAsia="zh-CN"/>
        </w:rPr>
        <w:t>将试验样件放入高低温箱；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sz w:val="24"/>
          <w:szCs w:val="22"/>
          <w:highlight w:val="none"/>
          <w:lang w:val="en-US" w:eastAsia="zh-CN"/>
        </w:rPr>
      </w:pPr>
      <w:r>
        <w:rPr>
          <w:rFonts w:hint="eastAsia"/>
          <w:sz w:val="24"/>
          <w:szCs w:val="22"/>
          <w:highlight w:val="none"/>
          <w:lang w:val="en-US" w:eastAsia="zh-CN"/>
        </w:rPr>
        <w:t>开启高低温箱进行试验；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highlight w:val="none"/>
          <w:lang w:val="en-US" w:eastAsia="zh-CN"/>
        </w:rPr>
        <w:t>高低温箱</w:t>
      </w:r>
      <w:r>
        <w:rPr>
          <w:rFonts w:hint="default"/>
          <w:sz w:val="24"/>
          <w:szCs w:val="22"/>
          <w:lang w:val="en-US" w:eastAsia="zh-CN"/>
        </w:rPr>
        <w:t>24小时</w:t>
      </w:r>
      <w:r>
        <w:rPr>
          <w:rFonts w:hint="eastAsia"/>
          <w:sz w:val="24"/>
          <w:szCs w:val="22"/>
          <w:lang w:val="en-US" w:eastAsia="zh-CN"/>
        </w:rPr>
        <w:t>不间断</w:t>
      </w:r>
      <w:r>
        <w:rPr>
          <w:rFonts w:hint="default"/>
          <w:sz w:val="24"/>
          <w:szCs w:val="22"/>
          <w:lang w:val="en-US" w:eastAsia="zh-CN"/>
        </w:rPr>
        <w:t>试验，</w:t>
      </w:r>
      <w:r>
        <w:rPr>
          <w:rFonts w:hint="eastAsia"/>
          <w:sz w:val="24"/>
          <w:szCs w:val="22"/>
          <w:lang w:val="en-US" w:eastAsia="zh-CN"/>
        </w:rPr>
        <w:t>每隔7天进行一次外观检查，如果出现油漆剥落、结构裂纹，则试验结束，外壳有效期不合格；如果外观完好，则继续试验；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default"/>
          <w:sz w:val="24"/>
          <w:szCs w:val="22"/>
          <w:lang w:val="en-US" w:eastAsia="zh-CN"/>
        </w:rPr>
        <w:t>连续</w:t>
      </w:r>
      <w:r>
        <w:rPr>
          <w:rFonts w:hint="eastAsia"/>
          <w:sz w:val="24"/>
          <w:szCs w:val="22"/>
          <w:lang w:val="en-US" w:eastAsia="zh-CN"/>
        </w:rPr>
        <w:t>试验，外观完好，未出现油漆剥落和裂纹等问题，持续66</w:t>
      </w:r>
      <w:r>
        <w:rPr>
          <w:rFonts w:hint="default"/>
          <w:sz w:val="24"/>
          <w:szCs w:val="22"/>
          <w:lang w:val="en-US" w:eastAsia="zh-CN"/>
        </w:rPr>
        <w:t>天后，</w:t>
      </w:r>
      <w:r>
        <w:rPr>
          <w:rFonts w:hint="eastAsia"/>
          <w:sz w:val="24"/>
          <w:szCs w:val="22"/>
          <w:lang w:val="en-US" w:eastAsia="zh-CN"/>
        </w:rPr>
        <w:t>高低温试验</w:t>
      </w:r>
      <w:r>
        <w:rPr>
          <w:rFonts w:hint="default"/>
          <w:sz w:val="24"/>
          <w:szCs w:val="22"/>
          <w:lang w:val="en-US" w:eastAsia="zh-CN"/>
        </w:rPr>
        <w:t>结束</w:t>
      </w:r>
      <w:r>
        <w:rPr>
          <w:rFonts w:hint="eastAsia"/>
          <w:sz w:val="24"/>
          <w:szCs w:val="22"/>
          <w:lang w:val="en-US" w:eastAsia="zh-CN"/>
        </w:rPr>
        <w:t>；</w:t>
      </w:r>
    </w:p>
    <w:p>
      <w:pPr>
        <w:numPr>
          <w:ilvl w:val="0"/>
          <w:numId w:val="3"/>
        </w:numPr>
        <w:bidi w:val="0"/>
        <w:ind w:left="425" w:hanging="425"/>
        <w:outlineLvl w:val="3"/>
        <w:rPr>
          <w:rFonts w:hint="default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从高低温箱取出样件，作尺寸检查、外观检查、导电漆测试、油漆耐擦拭和</w:t>
      </w:r>
      <w:r>
        <w:rPr>
          <w:rFonts w:hint="eastAsia"/>
          <w:b w:val="0"/>
          <w:bCs w:val="0"/>
          <w:sz w:val="24"/>
          <w:szCs w:val="22"/>
          <w:lang w:val="en-US" w:eastAsia="zh-CN"/>
        </w:rPr>
        <w:t>机械强度检测</w:t>
      </w:r>
      <w:r>
        <w:rPr>
          <w:rFonts w:hint="eastAsia"/>
          <w:sz w:val="24"/>
          <w:szCs w:val="22"/>
          <w:lang w:val="en-US" w:eastAsia="zh-CN"/>
        </w:rPr>
        <w:t>，测试结果记录在附表：</w:t>
      </w:r>
      <w:r>
        <w:rPr>
          <w:rFonts w:hint="eastAsia"/>
          <w:sz w:val="24"/>
          <w:szCs w:val="22"/>
          <w:highlight w:val="none"/>
          <w:lang w:val="en-US" w:eastAsia="zh-CN"/>
        </w:rPr>
        <w:t>《MS-001外壳加速寿命测试记录表》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5" w:name="_Toc25451"/>
      <w:bookmarkStart w:id="116" w:name="_Toc16593"/>
      <w:bookmarkStart w:id="117" w:name="_Toc16250"/>
      <w:bookmarkStart w:id="118" w:name="_Toc31962"/>
      <w:bookmarkStart w:id="119" w:name="_Toc5798"/>
      <w:bookmarkStart w:id="120" w:name="_Toc5049"/>
      <w:bookmarkStart w:id="121" w:name="_Toc25403"/>
      <w:bookmarkStart w:id="122" w:name="_Toc17913"/>
      <w:bookmarkStart w:id="123" w:name="_Toc5520"/>
      <w:bookmarkStart w:id="124" w:name="_Toc25867"/>
      <w:r>
        <w:rPr>
          <w:rFonts w:hint="eastAsia"/>
          <w:lang w:val="en-US" w:eastAsia="zh-CN"/>
        </w:rPr>
        <w:t>测试</w:t>
      </w:r>
      <w:r>
        <w:rPr>
          <w:rFonts w:hint="eastAsia"/>
          <w:lang w:eastAsia="zh-CN"/>
        </w:rPr>
        <w:t>结果</w:t>
      </w:r>
      <w:r>
        <w:rPr>
          <w:rFonts w:hint="eastAsia"/>
          <w:lang w:val="en-US" w:eastAsia="zh-CN"/>
        </w:rPr>
        <w:t>与</w:t>
      </w:r>
      <w:r>
        <w:rPr>
          <w:rFonts w:hint="eastAsia"/>
          <w:lang w:eastAsia="zh-CN"/>
        </w:rPr>
        <w:t>结论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>
      <w:pPr>
        <w:ind w:firstLine="480" w:firstLineChars="200"/>
        <w:rPr>
          <w:rFonts w:hint="eastAsia"/>
          <w:sz w:val="24"/>
          <w:szCs w:val="22"/>
          <w:lang w:eastAsia="zh-CN"/>
        </w:rPr>
      </w:pPr>
      <w:r>
        <w:rPr>
          <w:rFonts w:hint="eastAsia"/>
          <w:sz w:val="24"/>
          <w:szCs w:val="22"/>
          <w:lang w:val="en-US" w:eastAsia="zh-CN"/>
        </w:rPr>
        <w:t>测试小组组员根据本方案的方法及步骤进行测试，记录结果并对结果进行相关分析。依据本方案的标准要求得出最终的测试结论，并编写测试报告。测试相关文档需经过审核、批准后归档。</w:t>
      </w:r>
      <w:bookmarkStart w:id="135" w:name="_GoBack"/>
      <w:bookmarkEnd w:id="135"/>
    </w:p>
    <w:p>
      <w:pPr>
        <w:rPr>
          <w:rFonts w:hint="default"/>
          <w:lang w:val="en-US" w:eastAsia="zh-CN"/>
        </w:rPr>
      </w:pPr>
      <w:bookmarkStart w:id="125" w:name="_Toc15244"/>
      <w:bookmarkStart w:id="126" w:name="_Toc539"/>
      <w:bookmarkStart w:id="127" w:name="_Toc17710"/>
      <w:bookmarkStart w:id="128" w:name="_Toc9099"/>
      <w:bookmarkStart w:id="129" w:name="_Toc13747"/>
      <w:bookmarkStart w:id="130" w:name="_Toc30334"/>
      <w:bookmarkStart w:id="131" w:name="_Toc18352"/>
      <w:bookmarkStart w:id="132" w:name="_Toc639"/>
      <w:bookmarkStart w:id="133" w:name="_Toc15449"/>
      <w:r>
        <w:rPr>
          <w:rFonts w:hint="eastAsia" w:eastAsia="宋体" w:asciiTheme="minorAscii" w:hAnsiTheme="minorAscii" w:cstheme="minorBidi"/>
          <w:sz w:val="32"/>
          <w:szCs w:val="24"/>
          <w:lang w:val="en-US" w:eastAsia="zh-CN"/>
        </w:rPr>
        <w:br w:type="page"/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 w:eastAsia="宋体" w:asciiTheme="minorAscii" w:hAnsiTheme="minorAscii" w:cstheme="minorBidi"/>
          <w:sz w:val="32"/>
          <w:szCs w:val="24"/>
          <w:lang w:val="en-US" w:eastAsia="zh-CN"/>
        </w:rPr>
        <w:t>附件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>
      <w:pPr>
        <w:pStyle w:val="5"/>
        <w:tabs>
          <w:tab w:val="left" w:pos="420"/>
        </w:tabs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34" w:name="_Toc26353"/>
      <w:r>
        <w:rPr>
          <w:rFonts w:hint="eastAsia"/>
          <w:lang w:val="en-US" w:eastAsia="zh-CN"/>
        </w:rPr>
        <w:t>附表1</w:t>
      </w:r>
      <w:bookmarkEnd w:id="134"/>
    </w:p>
    <w:tbl>
      <w:tblPr>
        <w:tblStyle w:val="21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268"/>
        <w:gridCol w:w="600"/>
        <w:gridCol w:w="615"/>
        <w:gridCol w:w="413"/>
        <w:gridCol w:w="1137"/>
        <w:gridCol w:w="1513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14" w:type="dxa"/>
            <w:gridSpan w:val="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MS-001外壳加速寿命测试记录表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159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高低温开始</w:t>
            </w: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试验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日期：</w:t>
            </w:r>
          </w:p>
        </w:tc>
        <w:tc>
          <w:tcPr>
            <w:tcW w:w="4355" w:type="dxa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高低温结束</w:t>
            </w: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试验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159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default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油漆及机械强度检测日期：</w:t>
            </w:r>
          </w:p>
        </w:tc>
        <w:tc>
          <w:tcPr>
            <w:tcW w:w="4355" w:type="dxa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试验地点：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159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default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高低温试验温度：       </w:t>
            </w:r>
          </w:p>
        </w:tc>
        <w:tc>
          <w:tcPr>
            <w:tcW w:w="4355" w:type="dxa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高低温试验湿度：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14" w:type="dxa"/>
            <w:gridSpan w:val="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 w:cs="Arial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Arial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外观检查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31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检查日</w:t>
            </w:r>
          </w:p>
        </w:tc>
        <w:tc>
          <w:tcPr>
            <w:tcW w:w="2765" w:type="dxa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外观是否完好</w:t>
            </w:r>
          </w:p>
        </w:tc>
        <w:tc>
          <w:tcPr>
            <w:tcW w:w="3218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exact"/>
        </w:trPr>
        <w:tc>
          <w:tcPr>
            <w:tcW w:w="2531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第7天：    年  月  日</w:t>
            </w:r>
          </w:p>
        </w:tc>
        <w:tc>
          <w:tcPr>
            <w:tcW w:w="121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550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3218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31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第14天：   年  月  日</w:t>
            </w:r>
          </w:p>
        </w:tc>
        <w:tc>
          <w:tcPr>
            <w:tcW w:w="121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550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3218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31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第21天：   年  月  日</w:t>
            </w:r>
          </w:p>
        </w:tc>
        <w:tc>
          <w:tcPr>
            <w:tcW w:w="121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550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3218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31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第28天：   年  月  日   日</w:t>
            </w:r>
          </w:p>
        </w:tc>
        <w:tc>
          <w:tcPr>
            <w:tcW w:w="121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550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3218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31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第35天：   年  月  日   日</w:t>
            </w:r>
          </w:p>
        </w:tc>
        <w:tc>
          <w:tcPr>
            <w:tcW w:w="121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550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3218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31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第42天：   年  月  日  日</w:t>
            </w:r>
          </w:p>
        </w:tc>
        <w:tc>
          <w:tcPr>
            <w:tcW w:w="121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550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3218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31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第49天：   年  月  日  日</w:t>
            </w:r>
          </w:p>
        </w:tc>
        <w:tc>
          <w:tcPr>
            <w:tcW w:w="121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550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3218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31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第56天：   年  月  日  日</w:t>
            </w:r>
          </w:p>
        </w:tc>
        <w:tc>
          <w:tcPr>
            <w:tcW w:w="121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550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3218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31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第63天：   年  月  日  日</w:t>
            </w:r>
          </w:p>
        </w:tc>
        <w:tc>
          <w:tcPr>
            <w:tcW w:w="121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550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3218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31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第66天：     年   月   日</w:t>
            </w:r>
          </w:p>
        </w:tc>
        <w:tc>
          <w:tcPr>
            <w:tcW w:w="121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550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3218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14" w:type="dxa"/>
            <w:gridSpan w:val="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尺寸检查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尺寸检查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尺寸检查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尺寸检查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试验前</w:t>
            </w:r>
          </w:p>
        </w:tc>
        <w:tc>
          <w:tcPr>
            <w:tcW w:w="1868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长x宽x高，mm</w:t>
            </w:r>
          </w:p>
        </w:tc>
        <w:tc>
          <w:tcPr>
            <w:tcW w:w="5383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试验前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长x宽x高，mm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试验前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长x宽x高，mm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试验前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长x宽x高，mm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6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试验后</w:t>
            </w:r>
          </w:p>
        </w:tc>
        <w:tc>
          <w:tcPr>
            <w:tcW w:w="1868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长x宽x高，mm</w:t>
            </w:r>
          </w:p>
        </w:tc>
        <w:tc>
          <w:tcPr>
            <w:tcW w:w="5383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试验后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长x宽x高，mm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试验后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长x宽x高，mm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试验后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长x宽x高，mm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3131" w:type="dxa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实配是否有影响</w:t>
            </w:r>
          </w:p>
        </w:tc>
        <w:tc>
          <w:tcPr>
            <w:tcW w:w="5383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有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</w:t>
            </w: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无</w:t>
            </w: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sym w:font="Wingdings 2" w:char="00A3"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实配是否有影响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有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</w:t>
            </w: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无</w:t>
            </w: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sym w:font="Wingdings 2" w:char="00A3"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实配是否有影响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有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</w:t>
            </w: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无</w:t>
            </w: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sym w:font="Wingdings 2" w:char="00A3"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实配是否有影响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有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</w:t>
            </w: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无</w:t>
            </w: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14" w:type="dxa"/>
            <w:gridSpan w:val="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油漆耐擦拭检查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31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default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检测点1</w:t>
            </w:r>
          </w:p>
        </w:tc>
        <w:tc>
          <w:tcPr>
            <w:tcW w:w="121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检测点2</w:t>
            </w:r>
          </w:p>
        </w:tc>
        <w:tc>
          <w:tcPr>
            <w:tcW w:w="1550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检测点3</w:t>
            </w:r>
          </w:p>
        </w:tc>
        <w:tc>
          <w:tcPr>
            <w:tcW w:w="15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检测点4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31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default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21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550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5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31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21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550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5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14" w:type="dxa"/>
            <w:gridSpan w:val="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导电漆测试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31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检测点1</w:t>
            </w:r>
          </w:p>
        </w:tc>
        <w:tc>
          <w:tcPr>
            <w:tcW w:w="121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检测点2</w:t>
            </w:r>
          </w:p>
        </w:tc>
        <w:tc>
          <w:tcPr>
            <w:tcW w:w="1550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检测点3</w:t>
            </w:r>
          </w:p>
        </w:tc>
        <w:tc>
          <w:tcPr>
            <w:tcW w:w="15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检测点4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31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21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550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5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31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21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550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5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514" w:type="dxa"/>
            <w:gridSpan w:val="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机械强度检测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3746" w:type="dxa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机械强度检测是否通过</w:t>
            </w:r>
          </w:p>
        </w:tc>
        <w:tc>
          <w:tcPr>
            <w:tcW w:w="4768" w:type="dxa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 不通过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3746" w:type="dxa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 w:ascii="Arial" w:hAnsi="Arial" w:eastAsia="宋体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测试记录员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4768" w:type="dxa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3746" w:type="dxa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复核：</w:t>
            </w:r>
          </w:p>
        </w:tc>
        <w:tc>
          <w:tcPr>
            <w:tcW w:w="4768" w:type="dxa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日期：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footerReference r:id="rId7" w:type="default"/>
      <w:pgSz w:w="11906" w:h="16838"/>
      <w:pgMar w:top="1417" w:right="1803" w:bottom="850" w:left="1803" w:header="851" w:footer="283" w:gutter="0"/>
      <w:pgNumType w:fmt="decimal" w:start="1"/>
      <w:cols w:space="0" w:num="1"/>
      <w:rtlGutter w:val="0"/>
      <w:docGrid w:type="lines" w:linePitch="39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3013"/>
        <w:tab w:val="clear" w:pos="4153"/>
      </w:tabs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rPr>
                              <w:rFonts w:hint="default" w:ascii="Times New Roman" w:hAnsi="Times New Roman" w:eastAsia="宋体" w:cs="Times New Roman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Fonts w:hint="default" w:ascii="Times New Roman" w:hAnsi="Times New Roman" w:eastAsia="宋体" w:cs="Times New Roman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3013"/>
        <w:tab w:val="clear" w:pos="4153"/>
      </w:tabs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rPr>
                              <w:rFonts w:hint="default" w:ascii="Times New Roman" w:hAnsi="Times New Roman" w:eastAsia="宋体" w:cs="Times New Roman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Fonts w:hint="default" w:ascii="Times New Roman" w:hAnsi="Times New Roman" w:eastAsia="宋体" w:cs="Times New Roman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3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4" w:space="1"/>
      </w:pBdr>
      <w:jc w:val="center"/>
      <w:rPr>
        <w:rFonts w:hint="default" w:eastAsia="宋体"/>
        <w:sz w:val="21"/>
        <w:szCs w:val="32"/>
        <w:lang w:val="en-US" w:eastAsia="zh-CN"/>
      </w:rPr>
    </w:pPr>
    <w:r>
      <w:rPr>
        <w:rFonts w:hint="eastAsia"/>
        <w:sz w:val="21"/>
        <w:szCs w:val="32"/>
        <w:lang w:val="en-US" w:eastAsia="zh-CN"/>
      </w:rPr>
      <w:t xml:space="preserve">                                                       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D06A27"/>
    <w:multiLevelType w:val="singleLevel"/>
    <w:tmpl w:val="8ED06A2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5119660"/>
    <w:multiLevelType w:val="singleLevel"/>
    <w:tmpl w:val="A5119660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AC879EC6"/>
    <w:multiLevelType w:val="singleLevel"/>
    <w:tmpl w:val="AC879EC6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47DB23B8"/>
    <w:multiLevelType w:val="singleLevel"/>
    <w:tmpl w:val="47DB23B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E8BCAC"/>
    <w:multiLevelType w:val="multilevel"/>
    <w:tmpl w:val="63E8BCAC"/>
    <w:lvl w:ilvl="0" w:tentative="0">
      <w:start w:val="1"/>
      <w:numFmt w:val="chineseCounting"/>
      <w:pStyle w:val="3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5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6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7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8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9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10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1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98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78B236E4"/>
    <w:rsid w:val="001A6428"/>
    <w:rsid w:val="00C26B10"/>
    <w:rsid w:val="00CC79CB"/>
    <w:rsid w:val="012C21C6"/>
    <w:rsid w:val="013C7235"/>
    <w:rsid w:val="01D67EAB"/>
    <w:rsid w:val="01F23AA6"/>
    <w:rsid w:val="02644ACE"/>
    <w:rsid w:val="02AB0636"/>
    <w:rsid w:val="02D53122"/>
    <w:rsid w:val="03377BF0"/>
    <w:rsid w:val="040344C3"/>
    <w:rsid w:val="046014C5"/>
    <w:rsid w:val="04CA4BB5"/>
    <w:rsid w:val="05337401"/>
    <w:rsid w:val="0594165F"/>
    <w:rsid w:val="05CB5F07"/>
    <w:rsid w:val="064C693C"/>
    <w:rsid w:val="06BF1533"/>
    <w:rsid w:val="074012A7"/>
    <w:rsid w:val="074245F9"/>
    <w:rsid w:val="08756ED0"/>
    <w:rsid w:val="08980ED9"/>
    <w:rsid w:val="08B11E84"/>
    <w:rsid w:val="0A65416C"/>
    <w:rsid w:val="0ACD1D30"/>
    <w:rsid w:val="0B4224A7"/>
    <w:rsid w:val="0BB928C2"/>
    <w:rsid w:val="0C37560F"/>
    <w:rsid w:val="0CA16FF1"/>
    <w:rsid w:val="0D380D3F"/>
    <w:rsid w:val="0DB875C6"/>
    <w:rsid w:val="0DD12138"/>
    <w:rsid w:val="0E063CF4"/>
    <w:rsid w:val="0E4E4FF3"/>
    <w:rsid w:val="0F525587"/>
    <w:rsid w:val="0F94680C"/>
    <w:rsid w:val="0FEF2C59"/>
    <w:rsid w:val="10A12DA0"/>
    <w:rsid w:val="10AD4E23"/>
    <w:rsid w:val="117A794E"/>
    <w:rsid w:val="120135A5"/>
    <w:rsid w:val="12580DEF"/>
    <w:rsid w:val="12621206"/>
    <w:rsid w:val="128812A8"/>
    <w:rsid w:val="12C845D2"/>
    <w:rsid w:val="132604F3"/>
    <w:rsid w:val="13F8073F"/>
    <w:rsid w:val="141E2224"/>
    <w:rsid w:val="15835095"/>
    <w:rsid w:val="1585042C"/>
    <w:rsid w:val="16231ED5"/>
    <w:rsid w:val="16454E0F"/>
    <w:rsid w:val="16BE5831"/>
    <w:rsid w:val="17370A93"/>
    <w:rsid w:val="1754438B"/>
    <w:rsid w:val="17B6703A"/>
    <w:rsid w:val="17F51C94"/>
    <w:rsid w:val="181F4BF8"/>
    <w:rsid w:val="18785FB9"/>
    <w:rsid w:val="18911737"/>
    <w:rsid w:val="1A390B5E"/>
    <w:rsid w:val="1B8F2FE4"/>
    <w:rsid w:val="1BEE1C27"/>
    <w:rsid w:val="1C4A1B3F"/>
    <w:rsid w:val="1C6A185D"/>
    <w:rsid w:val="1C6C5911"/>
    <w:rsid w:val="1CAD3A50"/>
    <w:rsid w:val="1D5D09E7"/>
    <w:rsid w:val="1D6660A0"/>
    <w:rsid w:val="1EAC430F"/>
    <w:rsid w:val="1EE86F0A"/>
    <w:rsid w:val="1F66304B"/>
    <w:rsid w:val="1F7229C9"/>
    <w:rsid w:val="20E76E8C"/>
    <w:rsid w:val="21850588"/>
    <w:rsid w:val="22CE33D3"/>
    <w:rsid w:val="22F93A8C"/>
    <w:rsid w:val="239A4B6F"/>
    <w:rsid w:val="23B56541"/>
    <w:rsid w:val="23D729E7"/>
    <w:rsid w:val="24540CD2"/>
    <w:rsid w:val="24A27F99"/>
    <w:rsid w:val="25325929"/>
    <w:rsid w:val="25514BAC"/>
    <w:rsid w:val="25C42F68"/>
    <w:rsid w:val="2619352E"/>
    <w:rsid w:val="27434EF3"/>
    <w:rsid w:val="27C65F43"/>
    <w:rsid w:val="27F94167"/>
    <w:rsid w:val="285F5832"/>
    <w:rsid w:val="28C02B57"/>
    <w:rsid w:val="29154C2F"/>
    <w:rsid w:val="2A1D6058"/>
    <w:rsid w:val="2A24147A"/>
    <w:rsid w:val="2A5B04BE"/>
    <w:rsid w:val="2ABB636F"/>
    <w:rsid w:val="2AC45B60"/>
    <w:rsid w:val="2AF245A1"/>
    <w:rsid w:val="2C84217E"/>
    <w:rsid w:val="2C9921DB"/>
    <w:rsid w:val="2D7A1034"/>
    <w:rsid w:val="2DE10445"/>
    <w:rsid w:val="2DFA09C5"/>
    <w:rsid w:val="2E332A79"/>
    <w:rsid w:val="2E5D21FC"/>
    <w:rsid w:val="2F27081C"/>
    <w:rsid w:val="30720789"/>
    <w:rsid w:val="31332561"/>
    <w:rsid w:val="313D09A1"/>
    <w:rsid w:val="325D23A1"/>
    <w:rsid w:val="331609C6"/>
    <w:rsid w:val="334447D4"/>
    <w:rsid w:val="33740094"/>
    <w:rsid w:val="33AA484A"/>
    <w:rsid w:val="34583831"/>
    <w:rsid w:val="36685952"/>
    <w:rsid w:val="366A584F"/>
    <w:rsid w:val="3683146A"/>
    <w:rsid w:val="37612E17"/>
    <w:rsid w:val="37D0077B"/>
    <w:rsid w:val="38914D84"/>
    <w:rsid w:val="399B3711"/>
    <w:rsid w:val="39B5645A"/>
    <w:rsid w:val="3A1D45CF"/>
    <w:rsid w:val="3A7772A9"/>
    <w:rsid w:val="3AA04502"/>
    <w:rsid w:val="3B9F35EC"/>
    <w:rsid w:val="3D4D3A52"/>
    <w:rsid w:val="3DC207C2"/>
    <w:rsid w:val="3DE7556E"/>
    <w:rsid w:val="3EBC2DD4"/>
    <w:rsid w:val="3EFE4C27"/>
    <w:rsid w:val="3F9E2EF4"/>
    <w:rsid w:val="405918E6"/>
    <w:rsid w:val="407C0C83"/>
    <w:rsid w:val="40E2300C"/>
    <w:rsid w:val="41021214"/>
    <w:rsid w:val="41E43209"/>
    <w:rsid w:val="428C27FE"/>
    <w:rsid w:val="42B13934"/>
    <w:rsid w:val="42B344DA"/>
    <w:rsid w:val="42CF3399"/>
    <w:rsid w:val="448E2DB4"/>
    <w:rsid w:val="44DF1658"/>
    <w:rsid w:val="458A240E"/>
    <w:rsid w:val="459F433F"/>
    <w:rsid w:val="45B46927"/>
    <w:rsid w:val="462F0F14"/>
    <w:rsid w:val="46475912"/>
    <w:rsid w:val="46E838D4"/>
    <w:rsid w:val="47726CF8"/>
    <w:rsid w:val="48121F78"/>
    <w:rsid w:val="484F06B1"/>
    <w:rsid w:val="486D7E1A"/>
    <w:rsid w:val="48701D09"/>
    <w:rsid w:val="489A23B6"/>
    <w:rsid w:val="48A24812"/>
    <w:rsid w:val="48BA7972"/>
    <w:rsid w:val="48BF1991"/>
    <w:rsid w:val="48F92351"/>
    <w:rsid w:val="49C32CF5"/>
    <w:rsid w:val="4B5A4478"/>
    <w:rsid w:val="4B7703BB"/>
    <w:rsid w:val="4B8B07CC"/>
    <w:rsid w:val="4C4719BC"/>
    <w:rsid w:val="4C811E19"/>
    <w:rsid w:val="4CE47AF5"/>
    <w:rsid w:val="4D7C3C63"/>
    <w:rsid w:val="4D970D51"/>
    <w:rsid w:val="4DAA171B"/>
    <w:rsid w:val="4DC710FA"/>
    <w:rsid w:val="4E332CEB"/>
    <w:rsid w:val="4E914C14"/>
    <w:rsid w:val="4EA04357"/>
    <w:rsid w:val="4ED212E5"/>
    <w:rsid w:val="508E3DC9"/>
    <w:rsid w:val="513F460A"/>
    <w:rsid w:val="51936894"/>
    <w:rsid w:val="51B8140F"/>
    <w:rsid w:val="5269389B"/>
    <w:rsid w:val="529F58A7"/>
    <w:rsid w:val="52FA58EC"/>
    <w:rsid w:val="53D852B7"/>
    <w:rsid w:val="544C29BF"/>
    <w:rsid w:val="54BA5742"/>
    <w:rsid w:val="54F5157F"/>
    <w:rsid w:val="56301D05"/>
    <w:rsid w:val="56D46745"/>
    <w:rsid w:val="57060B39"/>
    <w:rsid w:val="58597743"/>
    <w:rsid w:val="5865469B"/>
    <w:rsid w:val="587368DE"/>
    <w:rsid w:val="5A7A1711"/>
    <w:rsid w:val="5AB301E0"/>
    <w:rsid w:val="5B466F60"/>
    <w:rsid w:val="5BD63961"/>
    <w:rsid w:val="5BE7781C"/>
    <w:rsid w:val="5CCC159B"/>
    <w:rsid w:val="5CE0708C"/>
    <w:rsid w:val="5E755F4B"/>
    <w:rsid w:val="5F483205"/>
    <w:rsid w:val="5F4C6694"/>
    <w:rsid w:val="5FB81FB6"/>
    <w:rsid w:val="5FDF06B8"/>
    <w:rsid w:val="60547BD1"/>
    <w:rsid w:val="60DC4E7C"/>
    <w:rsid w:val="60E46730"/>
    <w:rsid w:val="61035E98"/>
    <w:rsid w:val="61EE6039"/>
    <w:rsid w:val="625F05BC"/>
    <w:rsid w:val="627658E4"/>
    <w:rsid w:val="636661E7"/>
    <w:rsid w:val="63797C6C"/>
    <w:rsid w:val="63863062"/>
    <w:rsid w:val="638721F4"/>
    <w:rsid w:val="64322884"/>
    <w:rsid w:val="652A37AA"/>
    <w:rsid w:val="654515A1"/>
    <w:rsid w:val="658E4A23"/>
    <w:rsid w:val="65AC3E31"/>
    <w:rsid w:val="667F0D60"/>
    <w:rsid w:val="66A21711"/>
    <w:rsid w:val="66C36ACC"/>
    <w:rsid w:val="66EF5738"/>
    <w:rsid w:val="670C1F82"/>
    <w:rsid w:val="67573E35"/>
    <w:rsid w:val="67C1666E"/>
    <w:rsid w:val="68837AC6"/>
    <w:rsid w:val="68D50AD5"/>
    <w:rsid w:val="69677250"/>
    <w:rsid w:val="69871EDA"/>
    <w:rsid w:val="69ED1F3C"/>
    <w:rsid w:val="6A7C36FF"/>
    <w:rsid w:val="6B5A5D8D"/>
    <w:rsid w:val="6B7B4D1E"/>
    <w:rsid w:val="6C0B71D2"/>
    <w:rsid w:val="6CDB33FC"/>
    <w:rsid w:val="6D5F31A0"/>
    <w:rsid w:val="6D976FEF"/>
    <w:rsid w:val="6DDE6EA2"/>
    <w:rsid w:val="6E007219"/>
    <w:rsid w:val="6EBD03FE"/>
    <w:rsid w:val="6ED36A71"/>
    <w:rsid w:val="6F250974"/>
    <w:rsid w:val="6F425277"/>
    <w:rsid w:val="7008444B"/>
    <w:rsid w:val="70334C0E"/>
    <w:rsid w:val="7044032E"/>
    <w:rsid w:val="72A85A29"/>
    <w:rsid w:val="72AF4744"/>
    <w:rsid w:val="732B3DB6"/>
    <w:rsid w:val="73CF0E5E"/>
    <w:rsid w:val="74352EDB"/>
    <w:rsid w:val="74DC704C"/>
    <w:rsid w:val="75B754E7"/>
    <w:rsid w:val="75DE5FD3"/>
    <w:rsid w:val="76AF189E"/>
    <w:rsid w:val="76C435C8"/>
    <w:rsid w:val="771B29C2"/>
    <w:rsid w:val="77B35E42"/>
    <w:rsid w:val="78225D97"/>
    <w:rsid w:val="78B236E4"/>
    <w:rsid w:val="78B57249"/>
    <w:rsid w:val="78DA32BC"/>
    <w:rsid w:val="790E7842"/>
    <w:rsid w:val="79123ED6"/>
    <w:rsid w:val="79763CE0"/>
    <w:rsid w:val="79DD2BDF"/>
    <w:rsid w:val="79E61FB6"/>
    <w:rsid w:val="79E80E57"/>
    <w:rsid w:val="7A485CA4"/>
    <w:rsid w:val="7ABF68AF"/>
    <w:rsid w:val="7B1C25EA"/>
    <w:rsid w:val="7B3D42A0"/>
    <w:rsid w:val="7B6902D6"/>
    <w:rsid w:val="7B8437E3"/>
    <w:rsid w:val="7BC6610D"/>
    <w:rsid w:val="7BD134CC"/>
    <w:rsid w:val="7C0D6D22"/>
    <w:rsid w:val="7C6C243B"/>
    <w:rsid w:val="7C977CED"/>
    <w:rsid w:val="7D521DBC"/>
    <w:rsid w:val="7E626F25"/>
    <w:rsid w:val="7E7F226F"/>
    <w:rsid w:val="7E85156B"/>
    <w:rsid w:val="7EAB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jc w:val="left"/>
      <w:outlineLvl w:val="0"/>
    </w:pPr>
    <w:rPr>
      <w:b/>
      <w:kern w:val="44"/>
      <w:sz w:val="32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240" w:lineRule="auto"/>
      <w:ind w:left="575" w:leftChars="0" w:hanging="575"/>
      <w:outlineLvl w:val="1"/>
    </w:pPr>
    <w:rPr>
      <w:rFonts w:ascii="Arial" w:hAnsi="Arial"/>
      <w:b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240" w:lineRule="auto"/>
      <w:ind w:left="720" w:leftChars="0" w:hanging="720"/>
      <w:outlineLvl w:val="2"/>
    </w:pPr>
    <w:rPr>
      <w:b/>
      <w:sz w:val="28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0"/>
  </w:style>
  <w:style w:type="paragraph" w:styleId="13">
    <w:name w:val="annotation text"/>
    <w:basedOn w:val="1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adjustRightInd w:val="0"/>
      <w:snapToGrid w:val="0"/>
      <w:spacing w:line="360" w:lineRule="auto"/>
      <w:ind w:firstLine="200" w:firstLineChars="200"/>
    </w:pPr>
    <w:rPr>
      <w:rFonts w:cs="宋体"/>
      <w:szCs w:val="30"/>
    </w:r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Body Text Indent 3"/>
    <w:basedOn w:val="1"/>
    <w:qFormat/>
    <w:uiPriority w:val="0"/>
    <w:pPr>
      <w:spacing w:after="120"/>
      <w:ind w:left="420" w:leftChars="200"/>
    </w:pPr>
    <w:rPr>
      <w:rFonts w:ascii="Times New Roman" w:hAnsi="Times New Roman"/>
      <w:sz w:val="16"/>
      <w:szCs w:val="20"/>
    </w:rPr>
  </w:style>
  <w:style w:type="paragraph" w:styleId="19">
    <w:name w:val="toc 2"/>
    <w:basedOn w:val="1"/>
    <w:next w:val="1"/>
    <w:qFormat/>
    <w:uiPriority w:val="0"/>
    <w:pPr>
      <w:ind w:left="420" w:leftChars="200"/>
    </w:p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qFormat/>
    <w:uiPriority w:val="0"/>
  </w:style>
  <w:style w:type="character" w:styleId="24">
    <w:name w:val="annotation reference"/>
    <w:basedOn w:val="22"/>
    <w:semiHidden/>
    <w:unhideWhenUsed/>
    <w:qFormat/>
    <w:uiPriority w:val="99"/>
    <w:rPr>
      <w:sz w:val="21"/>
      <w:szCs w:val="21"/>
    </w:rPr>
  </w:style>
  <w:style w:type="paragraph" w:customStyle="1" w:styleId="25">
    <w:name w:val="WPSOffice手动目录 1"/>
    <w:qFormat/>
    <w:uiPriority w:val="0"/>
    <w:pPr>
      <w:ind w:leftChars="0"/>
    </w:pPr>
    <w:rPr>
      <w:rFonts w:eastAsia="微软雅黑" w:asciiTheme="minorHAnsi" w:hAnsiTheme="minorHAnsi" w:cstheme="minorBidi"/>
      <w:sz w:val="20"/>
      <w:szCs w:val="20"/>
    </w:rPr>
  </w:style>
  <w:style w:type="paragraph" w:customStyle="1" w:styleId="26">
    <w:name w:val="WPSOffice手动目录 2"/>
    <w:qFormat/>
    <w:uiPriority w:val="0"/>
    <w:pPr>
      <w:ind w:leftChars="200"/>
    </w:pPr>
    <w:rPr>
      <w:rFonts w:eastAsia="微软雅黑" w:asciiTheme="minorHAnsi" w:hAnsiTheme="minorHAnsi" w:cstheme="minorBidi"/>
      <w:sz w:val="20"/>
      <w:szCs w:val="20"/>
    </w:rPr>
  </w:style>
  <w:style w:type="paragraph" w:customStyle="1" w:styleId="27">
    <w:name w:val="WPSOffice手动目录 3"/>
    <w:qFormat/>
    <w:uiPriority w:val="0"/>
    <w:pPr>
      <w:ind w:leftChars="400"/>
    </w:pPr>
    <w:rPr>
      <w:rFonts w:eastAsia="微软雅黑" w:asciiTheme="minorHAnsi" w:hAnsiTheme="minorHAnsi" w:cstheme="minorBidi"/>
      <w:sz w:val="20"/>
      <w:szCs w:val="20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4.wmf"/><Relationship Id="rId15" Type="http://schemas.openxmlformats.org/officeDocument/2006/relationships/oleObject" Target="embeddings/oleObject4.bin"/><Relationship Id="rId14" Type="http://schemas.openxmlformats.org/officeDocument/2006/relationships/image" Target="media/image3.wmf"/><Relationship Id="rId13" Type="http://schemas.openxmlformats.org/officeDocument/2006/relationships/oleObject" Target="embeddings/oleObject3.bin"/><Relationship Id="rId12" Type="http://schemas.openxmlformats.org/officeDocument/2006/relationships/image" Target="media/image2.wmf"/><Relationship Id="rId11" Type="http://schemas.openxmlformats.org/officeDocument/2006/relationships/oleObject" Target="embeddings/oleObject2.bin"/><Relationship Id="rId10" Type="http://schemas.openxmlformats.org/officeDocument/2006/relationships/image" Target="media/image1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2857</Words>
  <Characters>3316</Characters>
  <Lines>0</Lines>
  <Paragraphs>0</Paragraphs>
  <TotalTime>1</TotalTime>
  <ScaleCrop>false</ScaleCrop>
  <LinksUpToDate>false</LinksUpToDate>
  <CharactersWithSpaces>3695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2020-09-15T08:16:00Z</dcterms:created>
  <dc:creator>WPS_1591149877</dc:creator>
  <cp:lastModifiedBy>wuhui</cp:lastModifiedBy>
  <cp:lastPrinted>2021-12-29T00:55:00Z</cp:lastPrinted>
  <dcterms:modified xsi:type="dcterms:W3CDTF">2023-01-03T07:48:32Z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AA969C0DB1C14479BB91EF6288D4E2CA</vt:lpwstr>
  </property>
</Properties>
</file>