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1270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.012SM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3.45pt;height:41.1pt;width:179pt;z-index:251660288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8i&#10;1dMAAAAIAQAADwAAAAAAAAABACAAAAAiAAAAZHJzL2Rvd25yZXYueG1sUEsBAhQAFAAAAAgAh07i&#10;QP50pAZ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MS001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.012SM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147955</wp:posOffset>
                </wp:positionV>
                <wp:extent cx="4706620" cy="152146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152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1.95pt;margin-top:11.65pt;height:119.8pt;width:370.6pt;z-index:251659264;mso-width-relative:page;mso-height-relative:page;" filled="f" stroked="f" coordsize="21600,21600" o:gfxdata="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8vHuB9sAAAAJAQAADwAAAAAAAAABACAAAAAiAAAAZHJzL2Rvd25yZXYueG1sUEsBAhQA&#10;FAAAAAgAh07iQBSp8yi2AQAAWAMAAA4AAAAAAAAAAQAgAAAAKg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109855</wp:posOffset>
                </wp:positionV>
                <wp:extent cx="4530725" cy="7696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72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零部件选型报告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1pt;margin-top:8.65pt;height:60.6pt;width:356.75pt;z-index:251663360;mso-width-relative:page;mso-height-relative:page;" filled="f" stroked="f" coordsize="21600,21600" o:gfxdata="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pG8itoAAAAJAQAADwAAAAAAAAABACAAAAAiAAAAZHJzL2Rvd25yZXYueG1sUEsBAhQA&#10;FAAAAAgAh07iQBPIwEO3AQAAVwMAAA4AAAAAAAAAAQAgAAAAKQ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零部件选型报告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530860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vanish/>
                                <w:color w:val="0000FF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颜廷威/2020.12.22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cs="宋体"/>
                                <w:vanish/>
                                <w:color w:val="0000FF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孙盼/2020.12.22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vanish/>
                                <w:color w:val="0000FF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陈汉清/2020.12.22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92.7pt;margin-top:41.8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6coTvaAAAACgEAAA8AAAAAAAAAAQAgAAAAIgAAAGRycy9kb3ducmV2LnhtbFBLAQIU&#10;ABQAAAAIAIdO4kCfovNnuAEAAFgDAAAOAAAAAAAAAAEAIAAAACk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vanish/>
                          <w:color w:val="0000FF"/>
                          <w:sz w:val="28"/>
                          <w:szCs w:val="36"/>
                          <w:u w:val="single"/>
                          <w:lang w:val="en-US" w:eastAsia="zh-CN"/>
                        </w:rPr>
                        <w:t>颜廷威/2020.12.22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宋体" w:hAnsi="宋体" w:cs="宋体"/>
                          <w:vanish/>
                          <w:color w:val="0000FF"/>
                          <w:sz w:val="28"/>
                          <w:szCs w:val="36"/>
                          <w:u w:val="single"/>
                          <w:lang w:val="en-US" w:eastAsia="zh-CN"/>
                        </w:rPr>
                        <w:t>孙盼/2020.12.22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vanish/>
                          <w:color w:val="0000FF"/>
                          <w:sz w:val="28"/>
                          <w:szCs w:val="36"/>
                          <w:u w:val="single"/>
                          <w:lang w:val="en-US" w:eastAsia="zh-CN"/>
                        </w:rPr>
                        <w:t>陈汉清/2020.12.22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2020.12.22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颜廷威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Theme="minorAscii" w:hAnsiTheme="minorAscii" w:cstheme="minorBidi"/>
          <w:b/>
          <w:bCs/>
          <w:sz w:val="28"/>
          <w:szCs w:val="28"/>
        </w:rPr>
      </w:pPr>
      <w:r>
        <w:rPr>
          <w:rFonts w:ascii="宋体" w:hAnsi="宋体" w:eastAsia="宋体" w:cstheme="minorBidi"/>
          <w:b/>
          <w:bCs/>
          <w:sz w:val="28"/>
          <w:szCs w:val="28"/>
        </w:rPr>
        <w:t>目录</w:t>
      </w:r>
    </w:p>
    <w:p>
      <w:pPr>
        <w:pStyle w:val="3"/>
        <w:tabs>
          <w:tab w:val="right" w:leader="dot" w:pos="8306"/>
        </w:tabs>
      </w:pPr>
      <w:r>
        <w:rPr>
          <w:rFonts w:eastAsia="宋体" w:asciiTheme="minorAscii" w:hAnsiTheme="minorAscii" w:cstheme="minorBidi"/>
          <w:kern w:val="2"/>
          <w:sz w:val="28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 w:val="28"/>
          <w:szCs w:val="24"/>
          <w:lang w:val="en-US" w:eastAsia="zh-CN" w:bidi="ar-SA"/>
        </w:rPr>
        <w:instrText xml:space="preserve">TOC \o "1-3" \h \u </w:instrText>
      </w:r>
      <w:r>
        <w:rPr>
          <w:rFonts w:eastAsia="宋体" w:asciiTheme="minorAscii" w:hAnsiTheme="minorAscii" w:cstheme="minorBidi"/>
          <w:kern w:val="2"/>
          <w:sz w:val="28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_Toc411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机械臂选型</w:t>
      </w:r>
      <w:r>
        <w:tab/>
      </w:r>
      <w:r>
        <w:fldChar w:fldCharType="begin"/>
      </w:r>
      <w:r>
        <w:instrText xml:space="preserve"> PAGEREF _Toc411 \h </w:instrText>
      </w:r>
      <w:r>
        <w:fldChar w:fldCharType="separate"/>
      </w:r>
      <w:r>
        <w:t>1</w:t>
      </w:r>
      <w:r>
        <w:fldChar w:fldCharType="end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Theme="minorAscii" w:hAnsiTheme="minorAscii" w:cstheme="minorBidi"/>
        </w:rPr>
        <w:fldChar w:fldCharType="begin"/>
      </w:r>
      <w:r>
        <w:rPr>
          <w:rFonts w:asciiTheme="minorAscii" w:hAnsiTheme="minorAscii" w:cstheme="minorBidi"/>
        </w:rPr>
        <w:instrText xml:space="preserve"> HYPERLINK \l _Toc3523 </w:instrText>
      </w:r>
      <w:r>
        <w:rPr>
          <w:rFonts w:asciiTheme="minorAscii" w:hAnsiTheme="minorAscii" w:cstheme="minorBidi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_Toc3523 \h </w:instrText>
      </w:r>
      <w:r>
        <w:fldChar w:fldCharType="separate"/>
      </w:r>
      <w:r>
        <w:t>1</w:t>
      </w:r>
      <w:r>
        <w:fldChar w:fldCharType="end"/>
      </w:r>
      <w:r>
        <w:rPr>
          <w:rFonts w:asciiTheme="minorAscii" w:hAnsiTheme="minorAscii" w:cstheme="minorBidi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Theme="minorAscii" w:hAnsiTheme="minorAscii" w:cstheme="minorBidi"/>
        </w:rPr>
        <w:fldChar w:fldCharType="begin"/>
      </w:r>
      <w:r>
        <w:rPr>
          <w:rFonts w:asciiTheme="minorAscii" w:hAnsiTheme="minorAscii" w:cstheme="minorBidi"/>
        </w:rPr>
        <w:instrText xml:space="preserve"> HYPERLINK \l _Toc18183 </w:instrText>
      </w:r>
      <w:r>
        <w:rPr>
          <w:rFonts w:asciiTheme="minorAscii" w:hAnsiTheme="minorAscii" w:cstheme="minorBidi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选型参数</w:t>
      </w:r>
      <w:r>
        <w:tab/>
      </w:r>
      <w:r>
        <w:fldChar w:fldCharType="begin"/>
      </w:r>
      <w:r>
        <w:instrText xml:space="preserve"> PAGEREF _Toc18183 \h </w:instrText>
      </w:r>
      <w:r>
        <w:fldChar w:fldCharType="separate"/>
      </w:r>
      <w:r>
        <w:t>1</w:t>
      </w:r>
      <w:r>
        <w:fldChar w:fldCharType="end"/>
      </w:r>
      <w:r>
        <w:rPr>
          <w:rFonts w:asciiTheme="minorAscii" w:hAnsiTheme="minorAscii" w:cstheme="minorBidi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Theme="minorAscii" w:hAnsiTheme="minorAscii" w:cstheme="minorBidi"/>
        </w:rPr>
        <w:fldChar w:fldCharType="begin"/>
      </w:r>
      <w:r>
        <w:rPr>
          <w:rFonts w:asciiTheme="minorAscii" w:hAnsiTheme="minorAscii" w:cstheme="minorBidi"/>
        </w:rPr>
        <w:instrText xml:space="preserve"> HYPERLINK \l _Toc18486 </w:instrText>
      </w:r>
      <w:r>
        <w:rPr>
          <w:rFonts w:asciiTheme="minorAscii" w:hAnsiTheme="minorAscii" w:cstheme="minorBidi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选型结论</w:t>
      </w:r>
      <w:r>
        <w:tab/>
      </w:r>
      <w:r>
        <w:fldChar w:fldCharType="begin"/>
      </w:r>
      <w:r>
        <w:instrText xml:space="preserve"> PAGEREF _Toc18486 \h </w:instrText>
      </w:r>
      <w:r>
        <w:fldChar w:fldCharType="separate"/>
      </w:r>
      <w:r>
        <w:t>1</w:t>
      </w:r>
      <w:r>
        <w:fldChar w:fldCharType="end"/>
      </w:r>
      <w:r>
        <w:rPr>
          <w:rFonts w:asciiTheme="minorAscii" w:hAnsiTheme="minorAscii" w:cstheme="minorBidi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Theme="minorAscii" w:hAnsiTheme="minorAscii" w:cstheme="minorBidi"/>
        </w:rPr>
        <w:fldChar w:fldCharType="begin"/>
      </w:r>
      <w:r>
        <w:rPr>
          <w:rFonts w:asciiTheme="minorAscii" w:hAnsiTheme="minorAscii" w:cstheme="minorBidi"/>
        </w:rPr>
        <w:instrText xml:space="preserve"> HYPERLINK \l _Toc11043 </w:instrText>
      </w:r>
      <w:r>
        <w:rPr>
          <w:rFonts w:asciiTheme="minorAscii" w:hAnsiTheme="minorAscii" w:cstheme="minorBidi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_Toc11043 \h </w:instrText>
      </w:r>
      <w:r>
        <w:fldChar w:fldCharType="separate"/>
      </w:r>
      <w:r>
        <w:t>1</w:t>
      </w:r>
      <w:r>
        <w:fldChar w:fldCharType="end"/>
      </w:r>
      <w:r>
        <w:rPr>
          <w:rFonts w:asciiTheme="minorAscii" w:hAnsiTheme="minorAscii" w:cstheme="minorBidi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Theme="minorAscii" w:hAnsiTheme="minorAscii" w:cstheme="minorBidi"/>
        </w:rPr>
        <w:fldChar w:fldCharType="begin"/>
      </w:r>
      <w:r>
        <w:rPr>
          <w:rFonts w:asciiTheme="minorAscii" w:hAnsiTheme="minorAscii" w:cstheme="minorBidi"/>
        </w:rPr>
        <w:instrText xml:space="preserve"> HYPERLINK \l _Toc18078 </w:instrText>
      </w:r>
      <w:r>
        <w:rPr>
          <w:rFonts w:asciiTheme="minorAscii" w:hAnsiTheme="minorAscii" w:cstheme="minorBidi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bCs/>
          <w:lang w:val="en-US" w:eastAsia="zh-CN"/>
        </w:rPr>
        <w:t>升降立柱选型</w:t>
      </w:r>
      <w:r>
        <w:tab/>
      </w:r>
      <w:r>
        <w:fldChar w:fldCharType="begin"/>
      </w:r>
      <w:r>
        <w:instrText xml:space="preserve"> PAGEREF _Toc18078 \h </w:instrText>
      </w:r>
      <w:r>
        <w:fldChar w:fldCharType="separate"/>
      </w:r>
      <w:r>
        <w:t>1</w:t>
      </w:r>
      <w:r>
        <w:fldChar w:fldCharType="end"/>
      </w:r>
      <w:r>
        <w:rPr>
          <w:rFonts w:asciiTheme="minorAscii" w:hAnsiTheme="minorAscii" w:cstheme="minorBidi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Theme="minorAscii" w:hAnsiTheme="minorAscii" w:cstheme="minorBidi"/>
        </w:rPr>
        <w:fldChar w:fldCharType="begin"/>
      </w:r>
      <w:r>
        <w:rPr>
          <w:rFonts w:asciiTheme="minorAscii" w:hAnsiTheme="minorAscii" w:cstheme="minorBidi"/>
        </w:rPr>
        <w:instrText xml:space="preserve"> HYPERLINK \l _Toc88 </w:instrText>
      </w:r>
      <w:r>
        <w:rPr>
          <w:rFonts w:asciiTheme="minorAscii" w:hAnsiTheme="minorAscii" w:cstheme="minorBidi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_Toc88 \h </w:instrText>
      </w:r>
      <w:r>
        <w:fldChar w:fldCharType="separate"/>
      </w:r>
      <w:r>
        <w:t>1</w:t>
      </w:r>
      <w:r>
        <w:fldChar w:fldCharType="end"/>
      </w:r>
      <w:r>
        <w:rPr>
          <w:rFonts w:asciiTheme="minorAscii" w:hAnsiTheme="minorAscii" w:cstheme="minorBidi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Theme="minorAscii" w:hAnsiTheme="minorAscii" w:cstheme="minorBidi"/>
        </w:rPr>
        <w:fldChar w:fldCharType="begin"/>
      </w:r>
      <w:r>
        <w:rPr>
          <w:rFonts w:asciiTheme="minorAscii" w:hAnsiTheme="minorAscii" w:cstheme="minorBidi"/>
        </w:rPr>
        <w:instrText xml:space="preserve"> HYPERLINK \l _Toc25559 </w:instrText>
      </w:r>
      <w:r>
        <w:rPr>
          <w:rFonts w:asciiTheme="minorAscii" w:hAnsiTheme="minorAscii" w:cstheme="minorBidi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选型背景</w:t>
      </w:r>
      <w:r>
        <w:tab/>
      </w:r>
      <w:r>
        <w:fldChar w:fldCharType="begin"/>
      </w:r>
      <w:r>
        <w:instrText xml:space="preserve"> PAGEREF _Toc25559 \h </w:instrText>
      </w:r>
      <w:r>
        <w:fldChar w:fldCharType="separate"/>
      </w:r>
      <w:r>
        <w:t>2</w:t>
      </w:r>
      <w:r>
        <w:fldChar w:fldCharType="end"/>
      </w:r>
      <w:r>
        <w:rPr>
          <w:rFonts w:asciiTheme="minorAscii" w:hAnsiTheme="minorAscii" w:cstheme="minorBidi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Theme="minorAscii" w:hAnsiTheme="minorAscii" w:cstheme="minorBidi"/>
        </w:rPr>
        <w:fldChar w:fldCharType="begin"/>
      </w:r>
      <w:r>
        <w:rPr>
          <w:rFonts w:asciiTheme="minorAscii" w:hAnsiTheme="minorAscii" w:cstheme="minorBidi"/>
        </w:rPr>
        <w:instrText xml:space="preserve"> HYPERLINK \l _Toc10179 </w:instrText>
      </w:r>
      <w:r>
        <w:rPr>
          <w:rFonts w:asciiTheme="minorAscii" w:hAnsiTheme="minorAscii" w:cstheme="minorBidi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选型要求</w:t>
      </w:r>
      <w:r>
        <w:tab/>
      </w:r>
      <w:r>
        <w:fldChar w:fldCharType="begin"/>
      </w:r>
      <w:r>
        <w:instrText xml:space="preserve"> PAGEREF _Toc10179 \h </w:instrText>
      </w:r>
      <w:r>
        <w:fldChar w:fldCharType="separate"/>
      </w:r>
      <w:r>
        <w:t>2</w:t>
      </w:r>
      <w:r>
        <w:fldChar w:fldCharType="end"/>
      </w:r>
      <w:r>
        <w:rPr>
          <w:rFonts w:asciiTheme="minorAscii" w:hAnsiTheme="minorAscii" w:cstheme="minorBidi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Theme="minorAscii" w:hAnsiTheme="minorAscii" w:cstheme="minorBidi"/>
        </w:rPr>
        <w:fldChar w:fldCharType="begin"/>
      </w:r>
      <w:r>
        <w:rPr>
          <w:rFonts w:asciiTheme="minorAscii" w:hAnsiTheme="minorAscii" w:cstheme="minorBidi"/>
        </w:rPr>
        <w:instrText xml:space="preserve"> HYPERLINK \l _Toc28536 </w:instrText>
      </w:r>
      <w:r>
        <w:rPr>
          <w:rFonts w:asciiTheme="minorAscii" w:hAnsiTheme="minorAscii" w:cstheme="minorBidi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选型结果</w:t>
      </w:r>
      <w:r>
        <w:tab/>
      </w:r>
      <w:r>
        <w:fldChar w:fldCharType="begin"/>
      </w:r>
      <w:r>
        <w:instrText xml:space="preserve"> PAGEREF _Toc28536 \h </w:instrText>
      </w:r>
      <w:r>
        <w:fldChar w:fldCharType="separate"/>
      </w:r>
      <w:r>
        <w:t>2</w:t>
      </w:r>
      <w:r>
        <w:fldChar w:fldCharType="end"/>
      </w:r>
      <w:r>
        <w:rPr>
          <w:rFonts w:asciiTheme="minorAscii" w:hAnsiTheme="minorAscii" w:cstheme="minorBidi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Theme="minorAscii" w:hAnsiTheme="minorAscii" w:cstheme="minorBidi"/>
        </w:rPr>
        <w:fldChar w:fldCharType="begin"/>
      </w:r>
      <w:r>
        <w:rPr>
          <w:rFonts w:asciiTheme="minorAscii" w:hAnsiTheme="minorAscii" w:cstheme="minorBidi"/>
        </w:rPr>
        <w:instrText xml:space="preserve"> HYPERLINK \l _Toc479 </w:instrText>
      </w:r>
      <w:r>
        <w:rPr>
          <w:rFonts w:asciiTheme="minorAscii" w:hAnsiTheme="minorAscii" w:cstheme="minorBidi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脚轮选型</w:t>
      </w:r>
      <w:r>
        <w:tab/>
      </w:r>
      <w:r>
        <w:fldChar w:fldCharType="begin"/>
      </w:r>
      <w:r>
        <w:instrText xml:space="preserve"> PAGEREF _Toc479 \h </w:instrText>
      </w:r>
      <w:r>
        <w:fldChar w:fldCharType="separate"/>
      </w:r>
      <w:r>
        <w:t>2</w:t>
      </w:r>
      <w:r>
        <w:fldChar w:fldCharType="end"/>
      </w:r>
      <w:r>
        <w:rPr>
          <w:rFonts w:asciiTheme="minorAscii" w:hAnsiTheme="minorAscii" w:cstheme="minorBidi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Theme="minorAscii" w:hAnsiTheme="minorAscii" w:cstheme="minorBidi"/>
        </w:rPr>
        <w:fldChar w:fldCharType="begin"/>
      </w:r>
      <w:r>
        <w:rPr>
          <w:rFonts w:asciiTheme="minorAscii" w:hAnsiTheme="minorAscii" w:cstheme="minorBidi"/>
        </w:rPr>
        <w:instrText xml:space="preserve"> HYPERLINK \l _Toc25155 </w:instrText>
      </w:r>
      <w:r>
        <w:rPr>
          <w:rFonts w:asciiTheme="minorAscii" w:hAnsiTheme="minorAscii" w:cstheme="minorBidi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_Toc25155 \h </w:instrText>
      </w:r>
      <w:r>
        <w:fldChar w:fldCharType="separate"/>
      </w:r>
      <w:r>
        <w:t>2</w:t>
      </w:r>
      <w:r>
        <w:fldChar w:fldCharType="end"/>
      </w:r>
      <w:r>
        <w:rPr>
          <w:rFonts w:asciiTheme="minorAscii" w:hAnsiTheme="minorAscii" w:cstheme="minorBidi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Theme="minorAscii" w:hAnsiTheme="minorAscii" w:cstheme="minorBidi"/>
        </w:rPr>
        <w:fldChar w:fldCharType="begin"/>
      </w:r>
      <w:r>
        <w:rPr>
          <w:rFonts w:asciiTheme="minorAscii" w:hAnsiTheme="minorAscii" w:cstheme="minorBidi"/>
        </w:rPr>
        <w:instrText xml:space="preserve"> HYPERLINK \l _Toc15802 </w:instrText>
      </w:r>
      <w:r>
        <w:rPr>
          <w:rFonts w:asciiTheme="minorAscii" w:hAnsiTheme="minorAscii" w:cstheme="minorBidi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选型参数</w:t>
      </w:r>
      <w:r>
        <w:tab/>
      </w:r>
      <w:r>
        <w:fldChar w:fldCharType="begin"/>
      </w:r>
      <w:r>
        <w:instrText xml:space="preserve"> PAGEREF _Toc15802 \h </w:instrText>
      </w:r>
      <w:r>
        <w:fldChar w:fldCharType="separate"/>
      </w:r>
      <w:r>
        <w:t>3</w:t>
      </w:r>
      <w:r>
        <w:fldChar w:fldCharType="end"/>
      </w:r>
      <w:r>
        <w:rPr>
          <w:rFonts w:asciiTheme="minorAscii" w:hAnsiTheme="minorAscii" w:cstheme="minorBidi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asciiTheme="minorAscii" w:hAnsiTheme="minorAscii" w:cstheme="minorBidi"/>
        </w:rPr>
        <w:fldChar w:fldCharType="begin"/>
      </w:r>
      <w:r>
        <w:rPr>
          <w:rFonts w:asciiTheme="minorAscii" w:hAnsiTheme="minorAscii" w:cstheme="minorBidi"/>
        </w:rPr>
        <w:instrText xml:space="preserve"> HYPERLINK \l _Toc11040 </w:instrText>
      </w:r>
      <w:r>
        <w:rPr>
          <w:rFonts w:asciiTheme="minorAscii" w:hAnsiTheme="minorAscii" w:cstheme="minorBidi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选型结论</w:t>
      </w:r>
      <w:r>
        <w:tab/>
      </w:r>
      <w:r>
        <w:fldChar w:fldCharType="begin"/>
      </w:r>
      <w:r>
        <w:instrText xml:space="preserve"> PAGEREF _Toc11040 \h </w:instrText>
      </w:r>
      <w:r>
        <w:fldChar w:fldCharType="separate"/>
      </w:r>
      <w:r>
        <w:t>3</w:t>
      </w:r>
      <w:r>
        <w:fldChar w:fldCharType="end"/>
      </w:r>
      <w:r>
        <w:rPr>
          <w:rFonts w:asciiTheme="minorAscii" w:hAnsiTheme="minorAscii" w:cstheme="minorBidi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Theme="minorAscii" w:hAnsiTheme="minorAscii" w:cstheme="minorBidi"/>
        </w:rPr>
        <w:fldChar w:fldCharType="begin"/>
      </w:r>
      <w:r>
        <w:rPr>
          <w:rFonts w:asciiTheme="minorAscii" w:hAnsiTheme="minorAscii" w:cstheme="minorBidi"/>
        </w:rPr>
        <w:instrText xml:space="preserve"> HYPERLINK \l _Toc17022 </w:instrText>
      </w:r>
      <w:r>
        <w:rPr>
          <w:rFonts w:asciiTheme="minorAscii" w:hAnsiTheme="minorAscii" w:cstheme="minorBidi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手术定位器材料选型</w:t>
      </w:r>
      <w:r>
        <w:tab/>
      </w:r>
      <w:r>
        <w:fldChar w:fldCharType="begin"/>
      </w:r>
      <w:r>
        <w:instrText xml:space="preserve"> PAGEREF _Toc17022 \h </w:instrText>
      </w:r>
      <w:r>
        <w:fldChar w:fldCharType="separate"/>
      </w:r>
      <w:r>
        <w:t>3</w:t>
      </w:r>
      <w:r>
        <w:fldChar w:fldCharType="end"/>
      </w:r>
      <w:r>
        <w:rPr>
          <w:rFonts w:asciiTheme="minorAscii" w:hAnsiTheme="minorAscii" w:cstheme="minorBidi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Theme="minorAscii" w:hAnsiTheme="minorAscii" w:cstheme="minorBidi"/>
        </w:rPr>
        <w:fldChar w:fldCharType="begin"/>
      </w:r>
      <w:r>
        <w:rPr>
          <w:rFonts w:asciiTheme="minorAscii" w:hAnsiTheme="minorAscii" w:cstheme="minorBidi"/>
        </w:rPr>
        <w:instrText xml:space="preserve"> HYPERLINK \l _Toc230 </w:instrText>
      </w:r>
      <w:r>
        <w:rPr>
          <w:rFonts w:asciiTheme="minorAscii" w:hAnsiTheme="minorAscii" w:cstheme="minorBidi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配准板材料选型</w:t>
      </w:r>
      <w:r>
        <w:tab/>
      </w:r>
      <w:r>
        <w:fldChar w:fldCharType="begin"/>
      </w:r>
      <w:r>
        <w:instrText xml:space="preserve"> PAGEREF _Toc230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Ascii" w:hAnsiTheme="minorAscii" w:cstheme="minorBidi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textAlignment w:val="auto"/>
        <w:sectPr>
          <w:headerReference r:id="rId15" w:type="default"/>
          <w:footerReference r:id="rId16" w:type="default"/>
          <w:pgSz w:w="11906" w:h="16838"/>
          <w:pgMar w:top="1417" w:right="1800" w:bottom="850" w:left="1800" w:header="851" w:footer="283" w:gutter="0"/>
          <w:pgNumType w:fmt="decimal" w:start="1"/>
          <w:cols w:space="0" w:num="1"/>
          <w:rtlGutter w:val="0"/>
          <w:docGrid w:type="lines" w:linePitch="380" w:charSpace="0"/>
        </w:sectPr>
      </w:pPr>
      <w:r>
        <w:rPr>
          <w:rFonts w:asciiTheme="minorAscii" w:hAnsiTheme="minorAscii" w:cstheme="minorBidi"/>
        </w:rPr>
        <w:fldChar w:fldCharType="end"/>
      </w:r>
      <w:bookmarkStart w:id="16" w:name="_GoBack"/>
      <w:bookmarkEnd w:id="16"/>
    </w:p>
    <w:p>
      <w:pPr>
        <w:pStyle w:val="2"/>
        <w:bidi w:val="0"/>
        <w:rPr>
          <w:lang w:val="en-US" w:eastAsia="zh-CN"/>
        </w:rPr>
      </w:pPr>
      <w:bookmarkStart w:id="0" w:name="_Toc411"/>
      <w:r>
        <w:rPr>
          <w:rFonts w:hint="eastAsia"/>
          <w:lang w:val="en-US" w:eastAsia="zh-CN"/>
        </w:rPr>
        <w:t>机械臂选型</w:t>
      </w:r>
      <w:bookmarkEnd w:id="0"/>
    </w:p>
    <w:p>
      <w:pPr>
        <w:pStyle w:val="4"/>
        <w:bidi w:val="0"/>
        <w:rPr>
          <w:rFonts w:hint="default"/>
          <w:lang w:val="en-US" w:eastAsia="zh-CN"/>
        </w:rPr>
      </w:pPr>
      <w:bookmarkStart w:id="1" w:name="_Toc3523"/>
      <w:r>
        <w:rPr>
          <w:rFonts w:hint="eastAsia"/>
          <w:lang w:val="en-US" w:eastAsia="zh-CN"/>
        </w:rPr>
        <w:t>概述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由于产品追求小型化，所以选择范围缩小到协作机械臂，协作机械臂与传统机械臂相比体积小、灵活度高、易于安装、无需防护栏。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丹麦UR公司是目前全球最大的协作机器人制造商，占有全球40%的市场份额，UR机器人采用模块化设计，在工业应用和集成项目中优势明显。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综上所述，选择UR系列协作臂，根据选型参数确定某一型号机械臂。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18183"/>
      <w:r>
        <w:rPr>
          <w:rFonts w:hint="eastAsia"/>
          <w:lang w:val="en-US" w:eastAsia="zh-CN"/>
        </w:rPr>
        <w:t>选型参数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关键参数：有效工作半径、负载及机器人自重</w:t>
      </w:r>
    </w:p>
    <w:tbl>
      <w:tblPr>
        <w:tblStyle w:val="30"/>
        <w:tblW w:w="7397" w:type="dxa"/>
        <w:jc w:val="center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1080"/>
        <w:gridCol w:w="1080"/>
        <w:gridCol w:w="1080"/>
        <w:gridCol w:w="190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UR10</w:t>
            </w:r>
          </w:p>
        </w:tc>
        <w:tc>
          <w:tcPr>
            <w:tcW w:w="1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有效工作半径（mm）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</w:t>
            </w:r>
          </w:p>
        </w:tc>
        <w:tc>
          <w:tcPr>
            <w:tcW w:w="1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800左右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负载（kg）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5kg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重复定位精度（mm）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±0.03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±0.03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±0.03</w:t>
            </w:r>
          </w:p>
        </w:tc>
        <w:tc>
          <w:tcPr>
            <w:tcW w:w="1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1.5mm以内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自重（kg）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</w:t>
            </w:r>
          </w:p>
        </w:tc>
        <w:tc>
          <w:tcPr>
            <w:tcW w:w="1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Lines="0" w:afterLine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20kg以下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机械臂实际使用时搭载的末端器械的重量在1-4kg，UR5的额定负载是5kg，满足负载。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" w:name="_Toc18486"/>
      <w:r>
        <w:rPr>
          <w:rFonts w:hint="eastAsia"/>
          <w:lang w:val="en-US" w:eastAsia="zh-CN"/>
        </w:rPr>
        <w:t>选型结论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综上所述，按照产品的使用需求和关键参数的选择，UR5协作机械臂可满足使用要求。     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" w:name="_Toc11043"/>
      <w:r>
        <w:rPr>
          <w:rFonts w:hint="eastAsia"/>
          <w:lang w:val="en-US" w:eastAsia="zh-CN"/>
        </w:rPr>
        <w:t>参考资料</w:t>
      </w:r>
      <w:bookmarkEnd w:id="4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UR5机械臂用户手册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UR机器人技术参数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8078"/>
      <w:r>
        <w:rPr>
          <w:rStyle w:val="43"/>
          <w:rFonts w:hint="eastAsia"/>
          <w:b/>
          <w:bCs/>
          <w:lang w:val="en-US" w:eastAsia="zh-CN"/>
        </w:rPr>
        <w:t>升降立柱选型</w:t>
      </w:r>
      <w:bookmarkEnd w:id="5"/>
    </w:p>
    <w:p>
      <w:pPr>
        <w:pStyle w:val="4"/>
        <w:bidi w:val="0"/>
        <w:rPr>
          <w:rFonts w:hint="default"/>
          <w:lang w:val="en-US" w:eastAsia="zh-CN"/>
        </w:rPr>
      </w:pPr>
      <w:bookmarkStart w:id="6" w:name="_Toc88"/>
      <w:r>
        <w:rPr>
          <w:rFonts w:hint="eastAsia"/>
          <w:lang w:val="en-US" w:eastAsia="zh-CN"/>
        </w:rPr>
        <w:t>概述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升降立柱作为本产品承载最大的运动部件，对产品的可用性、耐久性等方面有重要影响。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" w:name="_Toc25559"/>
      <w:r>
        <w:rPr>
          <w:rFonts w:hint="eastAsia"/>
          <w:lang w:val="en-US" w:eastAsia="zh-CN"/>
        </w:rPr>
        <w:t>选型背景</w:t>
      </w:r>
      <w:bookmarkEnd w:id="7"/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公司其他产品所使用的升降立柱与现产品MS-001使用的升降立柱为同一系列同一型号，在长期的测试和使用过程中功能正常稳定。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" w:name="_Toc10179"/>
      <w:r>
        <w:rPr>
          <w:rFonts w:hint="eastAsia"/>
          <w:lang w:val="en-US" w:eastAsia="zh-CN"/>
        </w:rPr>
        <w:t>选型要求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根据升降立柱的参数和产品负载及行程需求进行选型，根据参数的匹配程度和以往产品的使用经验进行判定。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升降立柱（捷昌驱动，型号JC35EN2-0-A-4-4-24-60/260-0-1-02-2D0-07-G）的关键参</w:t>
      </w:r>
      <w:r>
        <w:rPr>
          <w:rFonts w:hint="eastAsia"/>
          <w:b w:val="0"/>
          <w:bCs w:val="0"/>
          <w:lang w:val="en-US" w:eastAsia="zh-CN"/>
        </w:rPr>
        <w:t>数：最大推力：4000N，自锁力：4000N；行程60mm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MS-001及参考产品相关参数“整机重量”、“轮子与脚撑的垂直距离”与升降立柱参数“负载”和“行程”的对比。</w:t>
      </w:r>
    </w:p>
    <w:tbl>
      <w:tblPr>
        <w:tblStyle w:val="30"/>
        <w:tblW w:w="8092" w:type="dxa"/>
        <w:tblInd w:w="0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3277"/>
        <w:gridCol w:w="1488"/>
        <w:gridCol w:w="2512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No.</w:t>
            </w:r>
          </w:p>
        </w:tc>
        <w:tc>
          <w:tcPr>
            <w:tcW w:w="3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 w:ascii="Arial" w:hAnsi="Arial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产品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整机重量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（或推力）</w:t>
            </w:r>
          </w:p>
        </w:tc>
        <w:tc>
          <w:tcPr>
            <w:tcW w:w="2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default" w:ascii="Arial" w:hAnsi="Arial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轮子与脚撑的垂直距离（或行程）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 w:ascii="Arial" w:hAnsi="Arial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参考产品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300kg</w:t>
            </w:r>
          </w:p>
        </w:tc>
        <w:tc>
          <w:tcPr>
            <w:tcW w:w="2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 w:ascii="Arial" w:hAnsi="Arial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4.37mm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 w:ascii="Arial" w:hAnsi="Arial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MS-001 模块化手术导引系统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250kg</w:t>
            </w:r>
          </w:p>
        </w:tc>
        <w:tc>
          <w:tcPr>
            <w:tcW w:w="2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 w:ascii="Arial" w:hAnsi="Arial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3.5mm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升降立柱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（约400kg）</w:t>
            </w:r>
          </w:p>
        </w:tc>
        <w:tc>
          <w:tcPr>
            <w:tcW w:w="2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60mm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9" w:name="_Toc28536"/>
      <w:r>
        <w:rPr>
          <w:rFonts w:hint="eastAsia"/>
          <w:lang w:val="en-US" w:eastAsia="zh-CN"/>
        </w:rPr>
        <w:t>选型结果</w:t>
      </w:r>
      <w:bookmarkEnd w:id="9"/>
    </w:p>
    <w:p>
      <w:pPr>
        <w:numPr>
          <w:ilvl w:val="-1"/>
          <w:numId w:val="0"/>
        </w:numPr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经过对比，MS-001系统重量、脚撑与轮子的垂直距离均在升降立柱参数范围内，判定此升降立柱（捷昌驱动，型号JC35EN2-0-A-4-4-24-60 /260-0-1-02-2D0-07-G）选型符合要求，可用于MS-001。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479"/>
      <w:r>
        <w:rPr>
          <w:rFonts w:hint="eastAsia"/>
          <w:lang w:val="en-US" w:eastAsia="zh-CN"/>
        </w:rPr>
        <w:t>脚轮选型</w:t>
      </w:r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5155"/>
      <w:r>
        <w:rPr>
          <w:rFonts w:hint="eastAsia"/>
          <w:lang w:val="en-US" w:eastAsia="zh-CN"/>
        </w:rPr>
        <w:t>概述</w:t>
      </w:r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规划模块和导引模块的台车均使用脚轮，从外观角度，两款台车采用同样的脚轮较为协调，同时规划台车车重远小于导引台车，因此根据导引台车参数进行脚轮的选型。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导引模块台车作为安装机械臂的台车其稳定性要求高，作了配重，因此导引台车重量比较重，所以其转移用的脚轮较为重要，脚轮出现问题会对产品的正常使用产生影响。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5802"/>
      <w:r>
        <w:rPr>
          <w:rFonts w:hint="eastAsia"/>
          <w:lang w:val="en-US" w:eastAsia="zh-CN"/>
        </w:rPr>
        <w:t>选型参数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选型参数如下：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载重：300kg（以300kg整计）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轮子数量：4个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轮子形式：万向轮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根据以上选型参数，以及三点确定一个平面原理，每个轮子的必要承载能力为：300kg/3=100kg。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因此脚轮承载能力必须大于100kg。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德国TENTE的脚轮，型号5947UAP125P30-13适用于医疗领域，其参数如下：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轮子直径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承载能力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材料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温度范围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125mm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130kg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聚氨酯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Shore A 92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-10℃/+40℃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EN12530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3" w:name="_Toc11040"/>
      <w:r>
        <w:rPr>
          <w:rFonts w:hint="eastAsia"/>
          <w:lang w:val="en-US" w:eastAsia="zh-CN"/>
        </w:rPr>
        <w:t>选型结论</w:t>
      </w:r>
      <w:bookmarkEnd w:id="1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根据脚轮参数可确认，其参数性能满足正常工况下选型要求。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由于导引台车车重较重，在运输过程中，有可能由于颠簸和倾斜，会导致整机重量偶尔承载在一个轮子上，可能导致轮子失效。因此，做包装设计时，应考虑将台车顶起、脚轮悬空，避免由于颠簸和倾斜导致脚轮失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4"/>
          <w:shd w:val="clear"/>
        </w:rPr>
        <w:t>由于单独的</w:t>
      </w:r>
      <w:r>
        <w:rPr>
          <w:rFonts w:hint="eastAsia" w:ascii="Arial" w:hAnsi="Arial" w:cs="Arial"/>
          <w:i w:val="0"/>
          <w:iCs w:val="0"/>
          <w:caps w:val="0"/>
          <w:spacing w:val="0"/>
          <w:sz w:val="21"/>
          <w:szCs w:val="24"/>
          <w:shd w:val="clear"/>
          <w:lang w:eastAsia="zh-CN"/>
        </w:rPr>
        <w:t>脚轮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4"/>
          <w:shd w:val="clear"/>
        </w:rPr>
        <w:t>测试，难以模拟实际工况，且最恶劣工况出现在运输过程，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1"/>
          <w:szCs w:val="24"/>
          <w:u w:val="none"/>
          <w:shd w:val="clear"/>
        </w:rPr>
        <w:t>因此不单独做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spacing w:val="0"/>
          <w:sz w:val="21"/>
          <w:szCs w:val="24"/>
          <w:u w:val="none"/>
          <w:shd w:val="clear"/>
          <w:lang w:eastAsia="zh-CN"/>
        </w:rPr>
        <w:t>脚轮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1"/>
          <w:szCs w:val="24"/>
          <w:u w:val="none"/>
          <w:shd w:val="clear"/>
        </w:rPr>
        <w:t>的测试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spacing w:val="0"/>
          <w:sz w:val="21"/>
          <w:szCs w:val="24"/>
          <w:u w:val="none"/>
          <w:shd w:val="clear"/>
          <w:lang w:val="en-US" w:eastAsia="zh-CN"/>
        </w:rPr>
        <w:t>验证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1"/>
          <w:szCs w:val="24"/>
          <w:u w:val="none"/>
          <w:shd w:val="clear"/>
        </w:rPr>
        <w:t>，在整机包装模拟运输试验时充分考虑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spacing w:val="0"/>
          <w:sz w:val="21"/>
          <w:szCs w:val="24"/>
          <w:u w:val="none"/>
          <w:shd w:val="clear"/>
          <w:lang w:eastAsia="zh-CN"/>
        </w:rPr>
        <w:t>脚轮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1"/>
          <w:szCs w:val="24"/>
          <w:u w:val="none"/>
          <w:shd w:val="clear"/>
        </w:rPr>
        <w:t>失效这个风险点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4"/>
          <w:shd w:val="clear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7022"/>
      <w:r>
        <w:rPr>
          <w:rFonts w:hint="eastAsia"/>
          <w:lang w:val="en-US" w:eastAsia="zh-CN"/>
        </w:rPr>
        <w:t>手术定位器材料选型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术定位器主要包括手术定位器及手术用套筒，其选型主要是材料的选型。由于该器械用于手术，对材料的抗腐蚀能力、加工性能有所要求，对比三种材料的性能后，选用304和316均适合作为手术定位器的结构材料，综合考虑性价比，选用医用304不锈钢作为结构材料。</w:t>
      </w:r>
    </w:p>
    <w:tbl>
      <w:tblPr>
        <w:tblStyle w:val="30"/>
        <w:tblW w:w="8625" w:type="dxa"/>
        <w:tblInd w:w="0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2649"/>
        <w:gridCol w:w="38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钢类别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牌号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耐腐蚀性能(Cr元素含量)</w:t>
            </w:r>
          </w:p>
        </w:tc>
        <w:tc>
          <w:tcPr>
            <w:tcW w:w="3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性能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不锈钢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16%-18%</w:t>
            </w:r>
          </w:p>
        </w:tc>
        <w:tc>
          <w:tcPr>
            <w:tcW w:w="3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机械性能与300系相近，抗腐蚀性能不如300系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，且表面较暗，不够美观。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304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18%-20%</w:t>
            </w:r>
          </w:p>
        </w:tc>
        <w:tc>
          <w:tcPr>
            <w:tcW w:w="3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耐腐蚀性、抗氧化性、可加工性，广泛用于医疗行业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，外观明亮。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316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16%-18%</w:t>
            </w:r>
          </w:p>
        </w:tc>
        <w:tc>
          <w:tcPr>
            <w:tcW w:w="3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316较304在高温环境下耐腐蚀能力更强，结构更稳定，但价格更高。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15" w:name="_Toc230"/>
      <w:r>
        <w:rPr>
          <w:rFonts w:hint="eastAsia"/>
          <w:lang w:val="en-US" w:eastAsia="zh-CN"/>
        </w:rPr>
        <w:t>配准板材料选型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准板用于手术通道空间坐标的配准，需要有良好的X光透光性，因此需要采用非金属材料。其结构又需要具有较好的刚强度和结构稳定性，以保持较高的精度。同时，也需要具有一定的耐高温性能，对比下表三种材料的性能后，选用碳纤维板作为主体材料。</w:t>
      </w:r>
    </w:p>
    <w:tbl>
      <w:tblPr>
        <w:tblStyle w:val="30"/>
        <w:tblW w:w="8408" w:type="dxa"/>
        <w:jc w:val="right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530"/>
        <w:gridCol w:w="575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righ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材料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耐受温度</w:t>
            </w:r>
          </w:p>
        </w:tc>
        <w:tc>
          <w:tcPr>
            <w:tcW w:w="5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物料性能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righ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ABS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℃</w:t>
            </w:r>
          </w:p>
        </w:tc>
        <w:tc>
          <w:tcPr>
            <w:tcW w:w="5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综合性能较好，冲击强度较高，化学稳定性，电性能良好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righ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PP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100-200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℃</w:t>
            </w:r>
          </w:p>
        </w:tc>
        <w:tc>
          <w:tcPr>
            <w:tcW w:w="5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密度小，强度刚度好，硬度耐热性均较好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righ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碳纤维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300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℃</w:t>
            </w:r>
          </w:p>
        </w:tc>
        <w:tc>
          <w:tcPr>
            <w:tcW w:w="5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耐高温，耐摩擦，比重小，比强高</w:t>
            </w:r>
          </w:p>
        </w:tc>
      </w:tr>
    </w:tbl>
    <w:p/>
    <w:sectPr>
      <w:footerReference r:id="rId17" w:type="default"/>
      <w:pgSz w:w="11906" w:h="16838"/>
      <w:pgMar w:top="1417" w:right="1800" w:bottom="850" w:left="1800" w:header="851" w:footer="283" w:gutter="0"/>
      <w:pgNumType w:fmt="decimal" w:start="1"/>
      <w:cols w:space="0" w:num="1"/>
      <w:rtlGutter w:val="0"/>
      <w:docGrid w:type="lines" w:linePitch="38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snapToGrid w:val="0"/>
      <w:spacing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snapToGrid w:val="0"/>
                            <w:spacing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tVl6sj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snapToGrid w:val="0"/>
                      <w:spacing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snapToGrid w:val="0"/>
      <w:spacing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snapToGrid w:val="0"/>
                            <w:spacing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3</w: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tzQzU3AgAAc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R+vqQ9Vd&#10;wBxaFrZ6Z3lME6XydnUMkDYpHgXqVEGn4gaTmHrWv5o46n/uU9Tjn2L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B7c0M1NwIAAHE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snapToGrid w:val="0"/>
                      <w:spacing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3</w:t>
                    </w:r>
                    <w:r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  <w:jc w:val="both"/>
    </w:pPr>
    <w:r>
      <w:pict>
        <v:shape id="PowerPlusWaterMarkObject16865700" o:spid="_x0000_s2059" o:spt="136" type="#_x0000_t136" style="position:absolute;left:0pt;height:213.25pt;width:374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ind w:right="-313" w:rightChars="-149"/>
      <w:jc w:val="center"/>
    </w:pPr>
    <w:r>
      <w:pict>
        <v:shape id="_x0000_s2060" o:spid="_x0000_s2060" o:spt="136" type="#_x0000_t136" style="position:absolute;left:0pt;height:213.25pt;width:374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56" w:after="156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F9C2DF"/>
    <w:multiLevelType w:val="multilevel"/>
    <w:tmpl w:val="A8F9C2D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kMmRmMjE5N2NiOWQyNDU2MmU0MzM0ZTEwZGUxYzU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3DC63F8"/>
    <w:rsid w:val="04A10BE9"/>
    <w:rsid w:val="06856B77"/>
    <w:rsid w:val="08202C17"/>
    <w:rsid w:val="086261EE"/>
    <w:rsid w:val="09A61BA0"/>
    <w:rsid w:val="0F031A7B"/>
    <w:rsid w:val="138E2FF9"/>
    <w:rsid w:val="13BD2648"/>
    <w:rsid w:val="14534028"/>
    <w:rsid w:val="15134C59"/>
    <w:rsid w:val="16444FD4"/>
    <w:rsid w:val="18231B07"/>
    <w:rsid w:val="19215180"/>
    <w:rsid w:val="19CE2367"/>
    <w:rsid w:val="19EF735C"/>
    <w:rsid w:val="1A7702A1"/>
    <w:rsid w:val="1A935653"/>
    <w:rsid w:val="1B6C4024"/>
    <w:rsid w:val="1BAF643C"/>
    <w:rsid w:val="1C1F54DC"/>
    <w:rsid w:val="1DE76398"/>
    <w:rsid w:val="1EFA772E"/>
    <w:rsid w:val="1F8251FE"/>
    <w:rsid w:val="20D91A5D"/>
    <w:rsid w:val="20F244F5"/>
    <w:rsid w:val="221C356A"/>
    <w:rsid w:val="23071C24"/>
    <w:rsid w:val="249E4BC2"/>
    <w:rsid w:val="24BE4CE9"/>
    <w:rsid w:val="2571465F"/>
    <w:rsid w:val="25C14ADA"/>
    <w:rsid w:val="281C69CE"/>
    <w:rsid w:val="28F75387"/>
    <w:rsid w:val="298B6807"/>
    <w:rsid w:val="29F574D6"/>
    <w:rsid w:val="2CF43EFD"/>
    <w:rsid w:val="2D5C3FE9"/>
    <w:rsid w:val="2D8A1E84"/>
    <w:rsid w:val="2E45131A"/>
    <w:rsid w:val="2F773ECC"/>
    <w:rsid w:val="2FD15513"/>
    <w:rsid w:val="33C03AE6"/>
    <w:rsid w:val="33EE1C6F"/>
    <w:rsid w:val="34916472"/>
    <w:rsid w:val="34DC7B2F"/>
    <w:rsid w:val="35E46651"/>
    <w:rsid w:val="36201F5C"/>
    <w:rsid w:val="37BA6F8B"/>
    <w:rsid w:val="37BB6FFA"/>
    <w:rsid w:val="387F4B11"/>
    <w:rsid w:val="39732DC3"/>
    <w:rsid w:val="3A3E0587"/>
    <w:rsid w:val="3A592C5A"/>
    <w:rsid w:val="3B786328"/>
    <w:rsid w:val="3B822278"/>
    <w:rsid w:val="3C3976F6"/>
    <w:rsid w:val="3DBA759C"/>
    <w:rsid w:val="3DC072AF"/>
    <w:rsid w:val="3DC079A3"/>
    <w:rsid w:val="3DDA3715"/>
    <w:rsid w:val="3EFA44B1"/>
    <w:rsid w:val="401A6D4F"/>
    <w:rsid w:val="40C65C20"/>
    <w:rsid w:val="412D52D1"/>
    <w:rsid w:val="413352A8"/>
    <w:rsid w:val="416146CA"/>
    <w:rsid w:val="42654646"/>
    <w:rsid w:val="435F1C6A"/>
    <w:rsid w:val="44D679CC"/>
    <w:rsid w:val="4510707F"/>
    <w:rsid w:val="45170D3A"/>
    <w:rsid w:val="45CB07CC"/>
    <w:rsid w:val="465554E8"/>
    <w:rsid w:val="475F5EA1"/>
    <w:rsid w:val="48867129"/>
    <w:rsid w:val="49513C13"/>
    <w:rsid w:val="4AD53E5C"/>
    <w:rsid w:val="4B407F91"/>
    <w:rsid w:val="4B6A6FCA"/>
    <w:rsid w:val="4B6D6660"/>
    <w:rsid w:val="4D637375"/>
    <w:rsid w:val="4FAE73C7"/>
    <w:rsid w:val="517D19C6"/>
    <w:rsid w:val="534606DC"/>
    <w:rsid w:val="546B7FD4"/>
    <w:rsid w:val="552D5FC7"/>
    <w:rsid w:val="556413ED"/>
    <w:rsid w:val="560C7D61"/>
    <w:rsid w:val="576E780A"/>
    <w:rsid w:val="57E546B2"/>
    <w:rsid w:val="58685709"/>
    <w:rsid w:val="58B9344B"/>
    <w:rsid w:val="5932407C"/>
    <w:rsid w:val="5C6B4004"/>
    <w:rsid w:val="5CF60EE0"/>
    <w:rsid w:val="5E9E5322"/>
    <w:rsid w:val="5FEC738B"/>
    <w:rsid w:val="614C6F06"/>
    <w:rsid w:val="62D26358"/>
    <w:rsid w:val="63DE1FA4"/>
    <w:rsid w:val="645B789C"/>
    <w:rsid w:val="65EF2656"/>
    <w:rsid w:val="66336C28"/>
    <w:rsid w:val="6636079B"/>
    <w:rsid w:val="678C4AA2"/>
    <w:rsid w:val="68FD71C2"/>
    <w:rsid w:val="69F165ED"/>
    <w:rsid w:val="6CD14540"/>
    <w:rsid w:val="6D33185C"/>
    <w:rsid w:val="6E9D3265"/>
    <w:rsid w:val="6F162E82"/>
    <w:rsid w:val="6FB22011"/>
    <w:rsid w:val="70065444"/>
    <w:rsid w:val="701B0CB6"/>
    <w:rsid w:val="704E443E"/>
    <w:rsid w:val="70B04A3F"/>
    <w:rsid w:val="7191007C"/>
    <w:rsid w:val="72D30EEB"/>
    <w:rsid w:val="72F03AD1"/>
    <w:rsid w:val="76E0667F"/>
    <w:rsid w:val="789D5361"/>
    <w:rsid w:val="79D61544"/>
    <w:rsid w:val="7A283A04"/>
    <w:rsid w:val="7A5F4230"/>
    <w:rsid w:val="7BD15481"/>
    <w:rsid w:val="7FC40B23"/>
    <w:rsid w:val="7FE5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43"/>
    <w:qFormat/>
    <w:uiPriority w:val="0"/>
    <w:pPr>
      <w:keepNext/>
      <w:keepLines/>
      <w:numPr>
        <w:ilvl w:val="0"/>
        <w:numId w:val="1"/>
      </w:numPr>
      <w:spacing w:beforeLines="100" w:afterLines="100"/>
      <w:ind w:left="432" w:hanging="432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link w:val="44"/>
    <w:qFormat/>
    <w:uiPriority w:val="0"/>
    <w:pPr>
      <w:keepNext/>
      <w:keepLines/>
      <w:numPr>
        <w:ilvl w:val="1"/>
        <w:numId w:val="1"/>
      </w:numPr>
      <w:spacing w:before="50" w:after="50"/>
      <w:outlineLvl w:val="1"/>
    </w:pPr>
    <w:rPr>
      <w:rFonts w:ascii="Arial" w:hAnsi="Arial"/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after="50" w:line="360" w:lineRule="auto"/>
      <w:outlineLvl w:val="2"/>
    </w:pPr>
    <w:rPr>
      <w:rFonts w:ascii="Arial" w:hAnsi="Arial"/>
      <w:b/>
      <w:bCs/>
      <w:sz w:val="24"/>
      <w:szCs w:val="32"/>
    </w:rPr>
  </w:style>
  <w:style w:type="paragraph" w:styleId="6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39"/>
    <w:pPr>
      <w:spacing w:line="240" w:lineRule="auto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4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5"/>
    <w:next w:val="15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6">
    <w:name w:val="标题 4 Char"/>
    <w:basedOn w:val="32"/>
    <w:link w:val="6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2"/>
    <w:link w:val="15"/>
    <w:qFormat/>
    <w:uiPriority w:val="99"/>
    <w:rPr>
      <w:kern w:val="2"/>
    </w:rPr>
  </w:style>
  <w:style w:type="character" w:customStyle="1" w:styleId="40">
    <w:name w:val="批注主题 Char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2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2"/>
    <w:link w:val="14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3">
    <w:name w:val="标题 1 Char"/>
    <w:link w:val="2"/>
    <w:qFormat/>
    <w:uiPriority w:val="0"/>
    <w:rPr>
      <w:b/>
      <w:bCs/>
      <w:kern w:val="44"/>
      <w:sz w:val="28"/>
      <w:szCs w:val="44"/>
    </w:rPr>
  </w:style>
  <w:style w:type="character" w:customStyle="1" w:styleId="44">
    <w:name w:val="标题 2 Char"/>
    <w:link w:val="4"/>
    <w:qFormat/>
    <w:uiPriority w:val="0"/>
    <w:rPr>
      <w:rFonts w:ascii="Arial" w:hAnsi="Arial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theme" Target="theme/theme1.xml"/><Relationship Id="rId17" Type="http://schemas.openxmlformats.org/officeDocument/2006/relationships/footer" Target="footer6.xml"/><Relationship Id="rId16" Type="http://schemas.openxmlformats.org/officeDocument/2006/relationships/footer" Target="footer5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9"/>
    <customShpInfo spid="_x0000_s2054"/>
    <customShpInfo spid="_x0000_s2053"/>
    <customShpInfo spid="_x0000_s1026" textRotate="1"/>
    <customShpInfo spid="_x0000_s2060"/>
    <customShpInfo spid="_x0000_s2057"/>
    <customShpInfo spid="_x0000_s2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7</Pages>
  <Words>1783</Words>
  <Characters>2151</Characters>
  <Lines>3</Lines>
  <Paragraphs>1</Paragraphs>
  <TotalTime>0</TotalTime>
  <ScaleCrop>false</ScaleCrop>
  <LinksUpToDate>false</LinksUpToDate>
  <CharactersWithSpaces>2296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2021-07-22T05:53:00Z</cp:lastPrinted>
  <dcterms:modified xsi:type="dcterms:W3CDTF">2023-06-25T01:59:44Z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67A841142BBC459C9D2422F6D88DA80D</vt:lpwstr>
  </property>
</Properties>
</file>