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仿宋_GB2312" w:hAnsi="华文仿宋" w:eastAsia="仿宋_GB2312"/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-266065</wp:posOffset>
                </wp:positionV>
                <wp:extent cx="2273300" cy="340995"/>
                <wp:effectExtent l="0" t="0" r="12700" b="19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</w:rPr>
                              <w:t>MS001.01.009TR.1.0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2pt;margin-top:-20.95pt;height:26.85pt;width:179pt;z-index:251659264;mso-width-relative:page;mso-height-relative:page;" fillcolor="#FFFFFF" filled="t" stroked="f" coordsize="21600,21600" o:gfxdata="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V8OCNUAAAAKAQAA&#10;DwAAAAAAAAABACAAAAAiAAAAZHJzL2Rvd25yZXYueG1sUEsBAhQAFAAAAAgAh07iQKNAsrZVAgAA&#10;nQQAAA4AAAAAAAAAAQAgAAAAJA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highlight w:val="none"/>
                        </w:rPr>
                      </w:pPr>
                      <w:r>
                        <w:rPr>
                          <w:rFonts w:hint="eastAsia"/>
                          <w:highlight w:val="none"/>
                        </w:rPr>
                        <w:t>MS001.01.009TR.1.0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600" w:lineRule="exact"/>
        <w:jc w:val="center"/>
        <w:rPr>
          <w:rFonts w:ascii="仿宋_GB2312" w:hAnsi="华文仿宋" w:eastAsia="仿宋_GB2312"/>
          <w:sz w:val="32"/>
          <w:szCs w:val="32"/>
        </w:rPr>
      </w:pPr>
    </w:p>
    <w:p>
      <w:pPr>
        <w:spacing w:line="600" w:lineRule="exact"/>
        <w:jc w:val="center"/>
        <w:rPr>
          <w:rFonts w:ascii="仿宋_GB2312" w:hAnsi="华文仿宋" w:eastAsia="仿宋_GB2312"/>
          <w:sz w:val="32"/>
          <w:szCs w:val="32"/>
        </w:rPr>
      </w:pPr>
    </w:p>
    <w:p>
      <w:pPr>
        <w:spacing w:line="600" w:lineRule="exact"/>
        <w:jc w:val="center"/>
        <w:rPr>
          <w:rFonts w:ascii="仿宋_GB2312" w:hAnsi="华文仿宋" w:eastAsia="仿宋_GB2312"/>
          <w:sz w:val="32"/>
          <w:szCs w:val="32"/>
        </w:rPr>
      </w:pPr>
    </w:p>
    <w:p>
      <w:pPr>
        <w:spacing w:line="600" w:lineRule="exact"/>
        <w:jc w:val="center"/>
        <w:rPr>
          <w:rFonts w:ascii="方正小标宋简体" w:hAnsi="华文仿宋" w:eastAsia="方正小标宋简体" w:cs="华文仿宋"/>
          <w:bCs/>
          <w:sz w:val="44"/>
          <w:szCs w:val="44"/>
        </w:rPr>
      </w:pPr>
      <w:r>
        <w:rPr>
          <w:rFonts w:hint="eastAsia" w:ascii="方正小标宋简体" w:hAnsi="华文仿宋" w:eastAsia="方正小标宋简体" w:cs="华文仿宋"/>
          <w:bCs/>
          <w:sz w:val="44"/>
          <w:szCs w:val="44"/>
        </w:rPr>
        <w:t>有源医疗器械使用期限分析评价报告</w:t>
      </w:r>
    </w:p>
    <w:p>
      <w:pPr>
        <w:spacing w:line="600" w:lineRule="exact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产品名称：</w:t>
      </w:r>
      <w:r>
        <w:rPr>
          <w:rFonts w:hint="eastAsia" w:eastAsia="仿宋_GB2312"/>
          <w:sz w:val="32"/>
          <w:szCs w:val="32"/>
        </w:rPr>
        <w:t>模块化手术导引系统</w:t>
      </w:r>
    </w:p>
    <w:p>
      <w:pPr>
        <w:spacing w:line="6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型号规格：</w:t>
      </w:r>
      <w:r>
        <w:rPr>
          <w:rFonts w:hint="eastAsia" w:eastAsia="仿宋_GB2312"/>
          <w:sz w:val="32"/>
          <w:szCs w:val="32"/>
        </w:rPr>
        <w:t>MS-001</w:t>
      </w:r>
    </w:p>
    <w:p>
      <w:pPr>
        <w:spacing w:line="6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完成单位</w:t>
      </w:r>
      <w:r>
        <w:rPr>
          <w:rFonts w:hint="eastAsia" w:eastAsia="仿宋_GB2312"/>
          <w:sz w:val="32"/>
          <w:szCs w:val="32"/>
        </w:rPr>
        <w:t>：杭州三坛医疗科技有限公司</w:t>
      </w:r>
    </w:p>
    <w:p>
      <w:pPr>
        <w:spacing w:line="6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人员签名：</w:t>
      </w:r>
    </w:p>
    <w:p>
      <w:pPr>
        <w:spacing w:line="6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完成时间：</w:t>
      </w:r>
    </w:p>
    <w:p>
      <w:pPr>
        <w:spacing w:line="600" w:lineRule="exact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rPr>
          <w:rFonts w:ascii="仿宋_GB2312" w:eastAsia="仿宋_GB2312"/>
          <w:sz w:val="32"/>
          <w:szCs w:val="32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928" w:right="1531" w:bottom="1814" w:left="1531" w:header="851" w:footer="1247" w:gutter="0"/>
          <w:pgNumType w:start="1"/>
          <w:cols w:space="720" w:num="1"/>
          <w:docGrid w:type="lines" w:linePitch="312" w:charSpace="0"/>
        </w:sectPr>
      </w:pPr>
    </w:p>
    <w:p>
      <w:pPr>
        <w:spacing w:line="360" w:lineRule="auto"/>
        <w:ind w:firstLine="640" w:firstLineChars="200"/>
        <w:outlineLvl w:val="0"/>
        <w:rPr>
          <w:rFonts w:eastAsia="黑体"/>
          <w:bCs/>
          <w:sz w:val="32"/>
          <w:szCs w:val="32"/>
        </w:rPr>
      </w:pPr>
      <w:r>
        <w:rPr>
          <w:rFonts w:eastAsia="黑体"/>
          <w:bCs/>
          <w:sz w:val="32"/>
          <w:szCs w:val="32"/>
        </w:rPr>
        <w:t>一、目的</w:t>
      </w:r>
    </w:p>
    <w:p>
      <w:pPr>
        <w:spacing w:line="360" w:lineRule="auto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本报告旨在验证型号为</w:t>
      </w:r>
      <w:r>
        <w:rPr>
          <w:rFonts w:hint="eastAsia" w:eastAsia="仿宋_GB2312"/>
          <w:sz w:val="32"/>
          <w:szCs w:val="32"/>
        </w:rPr>
        <w:t>MS-001</w:t>
      </w:r>
      <w:r>
        <w:rPr>
          <w:rFonts w:eastAsia="仿宋_GB2312"/>
          <w:sz w:val="32"/>
          <w:szCs w:val="32"/>
        </w:rPr>
        <w:t>的</w:t>
      </w:r>
      <w:r>
        <w:rPr>
          <w:rFonts w:hint="eastAsia" w:eastAsia="仿宋_GB2312"/>
          <w:sz w:val="32"/>
          <w:szCs w:val="32"/>
        </w:rPr>
        <w:t>模块化手术导引系统</w:t>
      </w:r>
      <w:r>
        <w:rPr>
          <w:rFonts w:eastAsia="仿宋_GB2312"/>
          <w:sz w:val="32"/>
          <w:szCs w:val="32"/>
        </w:rPr>
        <w:t>的使用期限。</w:t>
      </w:r>
    </w:p>
    <w:p>
      <w:pPr>
        <w:spacing w:line="360" w:lineRule="auto"/>
        <w:ind w:firstLine="640" w:firstLineChars="200"/>
        <w:outlineLvl w:val="0"/>
        <w:rPr>
          <w:rFonts w:eastAsia="黑体"/>
          <w:bCs/>
          <w:sz w:val="32"/>
          <w:szCs w:val="32"/>
        </w:rPr>
      </w:pPr>
      <w:r>
        <w:rPr>
          <w:rFonts w:eastAsia="黑体"/>
          <w:bCs/>
          <w:sz w:val="32"/>
          <w:szCs w:val="32"/>
        </w:rPr>
        <w:t>二、评价方式</w:t>
      </w:r>
    </w:p>
    <w:p>
      <w:pPr>
        <w:spacing w:line="360" w:lineRule="auto"/>
        <w:rPr>
          <w:rFonts w:eastAsia="仿宋_GB2312"/>
          <w:b/>
          <w:bCs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预先设定</w:t>
      </w:r>
      <w:r>
        <w:rPr>
          <w:rFonts w:hint="eastAsia" w:eastAsia="仿宋_GB2312"/>
          <w:sz w:val="32"/>
          <w:szCs w:val="32"/>
        </w:rPr>
        <w:t>MS-001</w:t>
      </w:r>
      <w:r>
        <w:rPr>
          <w:rFonts w:eastAsia="仿宋_GB2312"/>
          <w:sz w:val="32"/>
          <w:szCs w:val="32"/>
        </w:rPr>
        <w:t>的使用期限为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年，通过试验和分析验证上述内容。</w:t>
      </w:r>
    </w:p>
    <w:p>
      <w:pPr>
        <w:spacing w:line="360" w:lineRule="auto"/>
        <w:ind w:firstLine="640" w:firstLineChars="200"/>
        <w:outlineLvl w:val="0"/>
        <w:rPr>
          <w:rFonts w:eastAsia="黑体"/>
          <w:bCs/>
          <w:sz w:val="32"/>
          <w:szCs w:val="32"/>
        </w:rPr>
      </w:pPr>
      <w:r>
        <w:rPr>
          <w:rFonts w:eastAsia="黑体"/>
          <w:bCs/>
          <w:sz w:val="32"/>
          <w:szCs w:val="32"/>
        </w:rPr>
        <w:t>三、评价路径</w:t>
      </w:r>
    </w:p>
    <w:p>
      <w:pPr>
        <w:spacing w:line="360" w:lineRule="auto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将产品拆分为可更换部件和不可更换部件，通过评价最终确定产品的使用期限。</w:t>
      </w:r>
    </w:p>
    <w:p>
      <w:pPr>
        <w:spacing w:line="360" w:lineRule="auto"/>
        <w:ind w:firstLine="640" w:firstLineChars="200"/>
        <w:outlineLvl w:val="0"/>
        <w:rPr>
          <w:rFonts w:eastAsia="黑体"/>
          <w:bCs/>
          <w:sz w:val="32"/>
          <w:szCs w:val="32"/>
        </w:rPr>
      </w:pPr>
      <w:r>
        <w:rPr>
          <w:rFonts w:eastAsia="黑体"/>
          <w:bCs/>
          <w:sz w:val="32"/>
          <w:szCs w:val="32"/>
        </w:rPr>
        <w:t>四、影响因素分析</w:t>
      </w:r>
    </w:p>
    <w:p>
      <w:pPr>
        <w:spacing w:line="360" w:lineRule="auto"/>
        <w:ind w:firstLine="640" w:firstLineChars="200"/>
        <w:rPr>
          <w:rFonts w:eastAsia="仿宋_GB2312"/>
          <w:color w:val="000000"/>
          <w:sz w:val="32"/>
          <w:szCs w:val="32"/>
        </w:rPr>
      </w:pPr>
      <w:r>
        <w:rPr>
          <w:rFonts w:eastAsia="仿宋_GB2312"/>
          <w:color w:val="000000"/>
          <w:sz w:val="32"/>
          <w:szCs w:val="32"/>
        </w:rPr>
        <w:t>使用频率：每天</w:t>
      </w:r>
      <w:r>
        <w:rPr>
          <w:rFonts w:hint="eastAsia" w:eastAsia="仿宋_GB2312"/>
          <w:color w:val="000000"/>
          <w:sz w:val="32"/>
          <w:szCs w:val="32"/>
        </w:rPr>
        <w:t>开展4台手术，每台手术时间2小时，每台手术平均置钉6根，每年工作360天，则：</w:t>
      </w:r>
    </w:p>
    <w:p>
      <w:pPr>
        <w:spacing w:line="360" w:lineRule="auto"/>
        <w:ind w:firstLine="640" w:firstLineChars="200"/>
        <w:rPr>
          <w:rFonts w:eastAsia="仿宋_GB2312"/>
          <w:color w:val="000000"/>
          <w:sz w:val="32"/>
          <w:szCs w:val="32"/>
        </w:rPr>
      </w:pPr>
      <w:r>
        <w:rPr>
          <w:rFonts w:hint="eastAsia" w:eastAsia="仿宋_GB2312"/>
          <w:color w:val="000000"/>
          <w:sz w:val="32"/>
          <w:szCs w:val="32"/>
        </w:rPr>
        <w:t>手术台数=4台/天</w:t>
      </w:r>
      <w:r>
        <w:rPr>
          <w:rFonts w:eastAsia="仿宋_GB2312"/>
          <w:color w:val="000000"/>
          <w:sz w:val="32"/>
          <w:szCs w:val="32"/>
        </w:rPr>
        <w:t>×</w:t>
      </w:r>
      <w:r>
        <w:rPr>
          <w:rFonts w:hint="eastAsia" w:eastAsia="仿宋_GB2312"/>
          <w:color w:val="000000"/>
          <w:sz w:val="32"/>
          <w:szCs w:val="32"/>
        </w:rPr>
        <w:t>360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天</w:t>
      </w:r>
      <w:r>
        <w:rPr>
          <w:rFonts w:eastAsia="仿宋_GB2312"/>
          <w:color w:val="000000"/>
          <w:sz w:val="32"/>
          <w:szCs w:val="32"/>
        </w:rPr>
        <w:t>×</w:t>
      </w:r>
      <w:r>
        <w:rPr>
          <w:rFonts w:hint="eastAsia" w:eastAsia="仿宋_GB2312"/>
          <w:color w:val="000000"/>
          <w:sz w:val="32"/>
          <w:szCs w:val="32"/>
        </w:rPr>
        <w:t>8=11520台</w:t>
      </w:r>
    </w:p>
    <w:p>
      <w:pPr>
        <w:spacing w:line="360" w:lineRule="auto"/>
        <w:ind w:firstLine="640" w:firstLineChars="200"/>
        <w:rPr>
          <w:rFonts w:hint="eastAsia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color w:val="000000"/>
          <w:sz w:val="32"/>
          <w:szCs w:val="32"/>
        </w:rPr>
        <w:t>置钉次数=6根/台</w:t>
      </w:r>
      <w:r>
        <w:rPr>
          <w:rFonts w:eastAsia="仿宋_GB2312"/>
          <w:color w:val="000000"/>
          <w:sz w:val="32"/>
          <w:szCs w:val="32"/>
        </w:rPr>
        <w:t>×</w:t>
      </w:r>
      <w:r>
        <w:rPr>
          <w:rFonts w:hint="eastAsia" w:eastAsia="仿宋_GB2312"/>
          <w:color w:val="000000"/>
          <w:sz w:val="32"/>
          <w:szCs w:val="32"/>
        </w:rPr>
        <w:t>11520台=69120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根</w:t>
      </w:r>
    </w:p>
    <w:p>
      <w:pPr>
        <w:spacing w:line="360" w:lineRule="auto"/>
        <w:ind w:firstLine="640" w:firstLineChars="200"/>
        <w:rPr>
          <w:rFonts w:eastAsia="仿宋_GB2312"/>
          <w:color w:val="000000"/>
          <w:sz w:val="32"/>
          <w:szCs w:val="32"/>
        </w:rPr>
      </w:pPr>
      <w:r>
        <w:rPr>
          <w:rFonts w:hint="eastAsia" w:eastAsia="仿宋_GB2312"/>
          <w:color w:val="000000"/>
          <w:sz w:val="32"/>
          <w:szCs w:val="32"/>
        </w:rPr>
        <w:t>上电工作时间=2小时/台</w:t>
      </w:r>
      <w:r>
        <w:rPr>
          <w:rFonts w:eastAsia="仿宋_GB2312"/>
          <w:color w:val="000000"/>
          <w:sz w:val="32"/>
          <w:szCs w:val="32"/>
        </w:rPr>
        <w:t>×</w:t>
      </w:r>
      <w:r>
        <w:rPr>
          <w:rFonts w:hint="eastAsia" w:eastAsia="仿宋_GB2312"/>
          <w:color w:val="000000"/>
          <w:sz w:val="32"/>
          <w:szCs w:val="32"/>
        </w:rPr>
        <w:t>11520台=23040小时</w:t>
      </w:r>
    </w:p>
    <w:p>
      <w:pPr>
        <w:spacing w:line="360" w:lineRule="auto"/>
        <w:ind w:left="638" w:leftChars="304"/>
        <w:rPr>
          <w:rFonts w:eastAsia="仿宋_GB2312"/>
          <w:color w:val="000000"/>
          <w:sz w:val="32"/>
          <w:szCs w:val="32"/>
        </w:rPr>
      </w:pPr>
      <w:r>
        <w:rPr>
          <w:rFonts w:eastAsia="仿宋_GB2312"/>
          <w:color w:val="000000"/>
          <w:sz w:val="32"/>
          <w:szCs w:val="32"/>
        </w:rPr>
        <w:t>使用环境：</w:t>
      </w:r>
      <w:r>
        <w:rPr>
          <w:rFonts w:hint="eastAsia" w:eastAsia="仿宋_GB2312"/>
          <w:color w:val="000000"/>
          <w:sz w:val="32"/>
          <w:szCs w:val="32"/>
        </w:rPr>
        <w:t>手术室，温度21℃~25℃，相对湿度30%~60%</w:t>
      </w:r>
      <w:r>
        <w:rPr>
          <w:rFonts w:hint="eastAsia" w:eastAsia="仿宋_GB2312"/>
          <w:b/>
          <w:bCs/>
          <w:sz w:val="32"/>
          <w:szCs w:val="32"/>
        </w:rPr>
        <w:t>。</w:t>
      </w:r>
      <w:r>
        <w:rPr>
          <w:rFonts w:hint="eastAsia" w:eastAsia="仿宋_GB2312"/>
          <w:color w:val="000000"/>
          <w:sz w:val="32"/>
          <w:szCs w:val="32"/>
        </w:rPr>
        <w:t>（参考GB 50333-2013《医院洁净手术部建筑技术规范》）</w:t>
      </w:r>
    </w:p>
    <w:p>
      <w:pPr>
        <w:spacing w:line="360" w:lineRule="auto"/>
        <w:ind w:left="638" w:leftChars="304"/>
        <w:rPr>
          <w:rFonts w:eastAsia="仿宋_GB2312"/>
          <w:color w:val="000000"/>
          <w:sz w:val="32"/>
          <w:szCs w:val="32"/>
        </w:rPr>
        <w:sectPr>
          <w:headerReference r:id="rId6" w:type="default"/>
          <w:footerReference r:id="rId7" w:type="default"/>
          <w:pgSz w:w="11906" w:h="16838"/>
          <w:pgMar w:top="1417" w:right="1531" w:bottom="1417" w:left="1531" w:header="851" w:footer="1247" w:gutter="0"/>
          <w:pgNumType w:start="1"/>
          <w:cols w:space="720" w:num="1"/>
          <w:docGrid w:type="lines" w:linePitch="312" w:charSpace="0"/>
        </w:sectPr>
      </w:pPr>
    </w:p>
    <w:p>
      <w:pPr>
        <w:shd w:val="clear"/>
        <w:spacing w:line="360" w:lineRule="auto"/>
        <w:ind w:firstLine="640" w:firstLineChars="200"/>
        <w:outlineLvl w:val="0"/>
        <w:rPr>
          <w:rFonts w:eastAsia="黑体"/>
          <w:bCs/>
          <w:color w:val="auto"/>
          <w:sz w:val="32"/>
          <w:szCs w:val="32"/>
          <w:highlight w:val="none"/>
        </w:rPr>
      </w:pPr>
      <w:r>
        <w:rPr>
          <w:rFonts w:eastAsia="黑体"/>
          <w:bCs/>
          <w:color w:val="auto"/>
          <w:sz w:val="32"/>
          <w:szCs w:val="32"/>
          <w:highlight w:val="none"/>
        </w:rPr>
        <w:t>五、评价方法概述</w:t>
      </w:r>
    </w:p>
    <w:p>
      <w:pPr>
        <w:spacing w:line="360" w:lineRule="auto"/>
        <w:ind w:firstLine="640" w:firstLineChars="200"/>
        <w:rPr>
          <w:rFonts w:eastAsia="仿宋_GB2312"/>
          <w:color w:val="000000"/>
          <w:sz w:val="32"/>
          <w:szCs w:val="32"/>
        </w:rPr>
      </w:pPr>
      <w:r>
        <w:rPr>
          <w:rFonts w:eastAsia="仿宋_GB2312"/>
          <w:color w:val="000000"/>
          <w:sz w:val="32"/>
          <w:szCs w:val="32"/>
        </w:rPr>
        <w:t>参照下表所示方式，结合正文第七部分内容，总述在分析本产品使用期限过程中所用的评价方法。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3"/>
        <w:gridCol w:w="1464"/>
        <w:gridCol w:w="1386"/>
        <w:gridCol w:w="1215"/>
        <w:gridCol w:w="1110"/>
        <w:gridCol w:w="1016"/>
        <w:gridCol w:w="2745"/>
        <w:gridCol w:w="1185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1" w:hRule="atLeast"/>
          <w:tblHeader/>
          <w:jc w:val="center"/>
        </w:trPr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kern w:val="0"/>
                <w:sz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</w:rPr>
              <w:t>模块</w:t>
            </w:r>
            <w:r>
              <w:rPr>
                <w:rFonts w:ascii="黑体" w:hAnsi="黑体" w:eastAsia="黑体"/>
                <w:kern w:val="0"/>
                <w:sz w:val="24"/>
              </w:rPr>
              <w:t>/部件名称</w:t>
            </w:r>
          </w:p>
        </w:tc>
        <w:tc>
          <w:tcPr>
            <w:tcW w:w="14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kern w:val="0"/>
                <w:sz w:val="24"/>
              </w:rPr>
            </w:pPr>
            <w:r>
              <w:rPr>
                <w:rFonts w:ascii="黑体" w:hAnsi="黑体" w:eastAsia="黑体"/>
                <w:kern w:val="0"/>
                <w:sz w:val="24"/>
              </w:rPr>
              <w:t>影响</w:t>
            </w:r>
          </w:p>
          <w:p>
            <w:pPr>
              <w:spacing w:line="240" w:lineRule="auto"/>
              <w:jc w:val="center"/>
              <w:rPr>
                <w:rFonts w:ascii="黑体" w:hAnsi="黑体" w:eastAsia="黑体"/>
                <w:kern w:val="0"/>
                <w:sz w:val="24"/>
              </w:rPr>
            </w:pPr>
            <w:r>
              <w:rPr>
                <w:rFonts w:ascii="黑体" w:hAnsi="黑体" w:eastAsia="黑体"/>
                <w:kern w:val="0"/>
                <w:sz w:val="24"/>
              </w:rPr>
              <w:t>因素</w:t>
            </w:r>
          </w:p>
        </w:tc>
        <w:tc>
          <w:tcPr>
            <w:tcW w:w="13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kern w:val="0"/>
                <w:sz w:val="24"/>
              </w:rPr>
            </w:pPr>
            <w:r>
              <w:rPr>
                <w:rFonts w:ascii="黑体" w:hAnsi="黑体" w:eastAsia="黑体"/>
                <w:kern w:val="0"/>
                <w:sz w:val="24"/>
              </w:rPr>
              <w:t>型号</w:t>
            </w:r>
          </w:p>
        </w:tc>
        <w:tc>
          <w:tcPr>
            <w:tcW w:w="12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kern w:val="0"/>
                <w:sz w:val="24"/>
              </w:rPr>
            </w:pPr>
            <w:r>
              <w:rPr>
                <w:rFonts w:ascii="黑体" w:hAnsi="黑体" w:eastAsia="黑体"/>
                <w:kern w:val="0"/>
                <w:sz w:val="24"/>
              </w:rPr>
              <w:t>属性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kern w:val="0"/>
                <w:sz w:val="24"/>
              </w:rPr>
            </w:pPr>
            <w:r>
              <w:rPr>
                <w:rFonts w:ascii="黑体" w:hAnsi="黑体" w:eastAsia="黑体"/>
                <w:kern w:val="0"/>
                <w:sz w:val="24"/>
              </w:rPr>
              <w:t>分解关系类型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kern w:val="0"/>
                <w:sz w:val="24"/>
              </w:rPr>
            </w:pPr>
            <w:r>
              <w:rPr>
                <w:rFonts w:ascii="黑体" w:hAnsi="黑体" w:eastAsia="黑体"/>
                <w:kern w:val="0"/>
                <w:sz w:val="24"/>
              </w:rPr>
              <w:t>使用期限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kern w:val="0"/>
                <w:sz w:val="24"/>
              </w:rPr>
            </w:pPr>
            <w:r>
              <w:rPr>
                <w:rFonts w:ascii="黑体" w:hAnsi="黑体" w:eastAsia="黑体"/>
                <w:kern w:val="0"/>
                <w:sz w:val="24"/>
              </w:rPr>
              <w:t>评价方法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kern w:val="0"/>
                <w:sz w:val="24"/>
              </w:rPr>
            </w:pPr>
            <w:r>
              <w:rPr>
                <w:rFonts w:ascii="黑体" w:hAnsi="黑体" w:eastAsia="黑体"/>
                <w:kern w:val="0"/>
                <w:sz w:val="24"/>
              </w:rPr>
              <w:t>评价完成单位</w:t>
            </w:r>
          </w:p>
        </w:tc>
        <w:tc>
          <w:tcPr>
            <w:tcW w:w="2134" w:type="dxa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黑体" w:hAnsi="黑体" w:eastAsia="黑体"/>
                <w:kern w:val="0"/>
                <w:sz w:val="24"/>
              </w:rPr>
            </w:pPr>
            <w:r>
              <w:rPr>
                <w:rFonts w:ascii="黑体" w:hAnsi="黑体" w:eastAsia="黑体"/>
                <w:kern w:val="0"/>
                <w:sz w:val="24"/>
              </w:rPr>
              <w:t>使用期限内是否导致不可接受风险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  <w:jc w:val="center"/>
        </w:trPr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b/>
                <w:bCs/>
                <w:kern w:val="0"/>
                <w:sz w:val="24"/>
              </w:rPr>
              <w:t>规划模块</w:t>
            </w:r>
          </w:p>
        </w:tc>
        <w:tc>
          <w:tcPr>
            <w:tcW w:w="12255" w:type="dxa"/>
            <w:gridSpan w:val="8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  <w:jc w:val="center"/>
        </w:trPr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工作站</w:t>
            </w:r>
          </w:p>
        </w:tc>
        <w:tc>
          <w:tcPr>
            <w:tcW w:w="14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使用时间</w:t>
            </w:r>
          </w:p>
        </w:tc>
        <w:tc>
          <w:tcPr>
            <w:tcW w:w="13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HP</w:t>
            </w:r>
            <w:r>
              <w:rPr>
                <w:rFonts w:hint="eastAsia" w:eastAsia="仿宋_GB2312"/>
                <w:kern w:val="0"/>
                <w:sz w:val="24"/>
              </w:rPr>
              <w:t xml:space="preserve"> </w:t>
            </w:r>
            <w:r>
              <w:rPr>
                <w:rFonts w:eastAsia="仿宋_GB2312"/>
                <w:kern w:val="0"/>
                <w:sz w:val="24"/>
              </w:rPr>
              <w:t>ProDesk680G6PCIMT</w:t>
            </w:r>
          </w:p>
        </w:tc>
        <w:tc>
          <w:tcPr>
            <w:tcW w:w="12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外购件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不</w:t>
            </w:r>
            <w:r>
              <w:rPr>
                <w:rFonts w:eastAsia="仿宋_GB2312"/>
                <w:kern w:val="0"/>
                <w:sz w:val="24"/>
              </w:rPr>
              <w:t>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8年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HP ElitePro MTBF证书，见附件1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供应商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  <w:jc w:val="center"/>
        </w:trPr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开关</w:t>
            </w:r>
            <w:r>
              <w:rPr>
                <w:rFonts w:eastAsia="仿宋_GB2312"/>
                <w:kern w:val="0"/>
                <w:sz w:val="24"/>
              </w:rPr>
              <w:t>电源</w:t>
            </w:r>
          </w:p>
        </w:tc>
        <w:tc>
          <w:tcPr>
            <w:tcW w:w="14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温度与使用时间</w:t>
            </w:r>
          </w:p>
        </w:tc>
        <w:tc>
          <w:tcPr>
            <w:tcW w:w="13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NEVO+600M-1233</w:t>
            </w:r>
          </w:p>
        </w:tc>
        <w:tc>
          <w:tcPr>
            <w:tcW w:w="12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外购件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不</w:t>
            </w:r>
            <w:r>
              <w:rPr>
                <w:rFonts w:eastAsia="仿宋_GB2312"/>
                <w:kern w:val="0"/>
                <w:sz w:val="24"/>
              </w:rPr>
              <w:t>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8年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MTBF_25C_SR332-2_NEVOALL</w:t>
            </w:r>
            <w:r>
              <w:rPr>
                <w:rFonts w:hint="eastAsia" w:eastAsia="仿宋_GB2312"/>
                <w:kern w:val="0"/>
                <w:sz w:val="24"/>
              </w:rPr>
              <w:t>，见附件2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供应商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  <w:jc w:val="center"/>
        </w:trPr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焊接框架</w:t>
            </w:r>
          </w:p>
        </w:tc>
        <w:tc>
          <w:tcPr>
            <w:tcW w:w="14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承重强度</w:t>
            </w:r>
          </w:p>
        </w:tc>
        <w:tc>
          <w:tcPr>
            <w:tcW w:w="13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/</w:t>
            </w:r>
          </w:p>
        </w:tc>
        <w:tc>
          <w:tcPr>
            <w:tcW w:w="12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定制件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不</w:t>
            </w:r>
            <w:r>
              <w:rPr>
                <w:rFonts w:eastAsia="仿宋_GB2312"/>
                <w:kern w:val="0"/>
                <w:sz w:val="24"/>
              </w:rPr>
              <w:t>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8年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MS</w:t>
            </w:r>
            <w:r>
              <w:rPr>
                <w:rFonts w:eastAsia="仿宋_GB2312"/>
                <w:kern w:val="0"/>
                <w:sz w:val="24"/>
              </w:rPr>
              <w:t>-001</w:t>
            </w:r>
            <w:r>
              <w:rPr>
                <w:rFonts w:hint="eastAsia" w:eastAsia="仿宋_GB2312"/>
                <w:kern w:val="0"/>
                <w:sz w:val="24"/>
              </w:rPr>
              <w:t>规划</w:t>
            </w: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模块</w:t>
            </w:r>
            <w:r>
              <w:rPr>
                <w:rFonts w:hint="eastAsia" w:eastAsia="仿宋_GB2312"/>
                <w:kern w:val="0"/>
                <w:sz w:val="24"/>
              </w:rPr>
              <w:t>焊接框架应力分析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三坛医疗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  <w:jc w:val="center"/>
        </w:trPr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外壳</w:t>
            </w:r>
          </w:p>
        </w:tc>
        <w:tc>
          <w:tcPr>
            <w:tcW w:w="14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使用时间与油漆脱落</w:t>
            </w:r>
          </w:p>
        </w:tc>
        <w:tc>
          <w:tcPr>
            <w:tcW w:w="13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/</w:t>
            </w:r>
          </w:p>
        </w:tc>
        <w:tc>
          <w:tcPr>
            <w:tcW w:w="12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定制件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否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MS-001外壳加速寿命测试报告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三坛医疗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  <w:jc w:val="center"/>
        </w:trPr>
        <w:tc>
          <w:tcPr>
            <w:tcW w:w="1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b/>
                <w:bCs/>
                <w:kern w:val="0"/>
                <w:sz w:val="24"/>
              </w:rPr>
              <w:t>导引模块</w:t>
            </w:r>
          </w:p>
        </w:tc>
        <w:tc>
          <w:tcPr>
            <w:tcW w:w="12255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工作站</w:t>
            </w:r>
          </w:p>
        </w:tc>
        <w:tc>
          <w:tcPr>
            <w:tcW w:w="146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使用时间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HP</w:t>
            </w:r>
            <w:r>
              <w:rPr>
                <w:rFonts w:hint="eastAsia" w:eastAsia="仿宋_GB2312"/>
                <w:kern w:val="0"/>
                <w:sz w:val="24"/>
              </w:rPr>
              <w:t xml:space="preserve"> </w:t>
            </w:r>
            <w:r>
              <w:rPr>
                <w:rFonts w:eastAsia="仿宋_GB2312"/>
                <w:kern w:val="0"/>
                <w:sz w:val="24"/>
              </w:rPr>
              <w:t>EliteDesk800G6DesktopMini</w:t>
            </w:r>
          </w:p>
        </w:tc>
        <w:tc>
          <w:tcPr>
            <w:tcW w:w="121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外购件</w:t>
            </w:r>
          </w:p>
        </w:tc>
        <w:tc>
          <w:tcPr>
            <w:tcW w:w="1110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不可更换部件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8年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HP ElitePro MTBF证书，见附件</w:t>
            </w:r>
            <w:r>
              <w:rPr>
                <w:rFonts w:eastAsia="仿宋_GB2312"/>
                <w:kern w:val="0"/>
                <w:sz w:val="24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供应商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焊接框架</w:t>
            </w:r>
          </w:p>
        </w:tc>
        <w:tc>
          <w:tcPr>
            <w:tcW w:w="146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承重强度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/</w:t>
            </w:r>
          </w:p>
        </w:tc>
        <w:tc>
          <w:tcPr>
            <w:tcW w:w="121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定制件</w:t>
            </w:r>
          </w:p>
        </w:tc>
        <w:tc>
          <w:tcPr>
            <w:tcW w:w="1110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不可更换部件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8年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MS-001</w:t>
            </w:r>
            <w:r>
              <w:rPr>
                <w:rFonts w:hint="eastAsia" w:eastAsia="仿宋_GB2312"/>
                <w:kern w:val="0"/>
                <w:sz w:val="24"/>
              </w:rPr>
              <w:t>导引模块焊接框架应力分析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三坛医疗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机械臂</w:t>
            </w:r>
          </w:p>
        </w:tc>
        <w:tc>
          <w:tcPr>
            <w:tcW w:w="146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使用时间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UR5</w:t>
            </w:r>
          </w:p>
        </w:tc>
        <w:tc>
          <w:tcPr>
            <w:tcW w:w="121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外购件</w:t>
            </w:r>
          </w:p>
        </w:tc>
        <w:tc>
          <w:tcPr>
            <w:tcW w:w="1110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不可更换部件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8年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highlight w:val="none"/>
                <w:shd w:val="clear"/>
              </w:rPr>
              <w:t>UR</w:t>
            </w:r>
            <w:r>
              <w:rPr>
                <w:rFonts w:eastAsia="仿宋_GB2312"/>
                <w:kern w:val="0"/>
                <w:sz w:val="24"/>
                <w:highlight w:val="none"/>
                <w:shd w:val="clear"/>
              </w:rPr>
              <w:t>5</w:t>
            </w:r>
            <w:r>
              <w:rPr>
                <w:rFonts w:hint="eastAsia" w:eastAsia="仿宋_GB2312"/>
                <w:kern w:val="0"/>
                <w:sz w:val="24"/>
              </w:rPr>
              <w:t>用户手册，见附件</w:t>
            </w: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7</w:t>
            </w:r>
            <w:r>
              <w:rPr>
                <w:rFonts w:hint="eastAsia" w:eastAsia="仿宋_GB2312"/>
                <w:kern w:val="0"/>
                <w:sz w:val="24"/>
              </w:rPr>
              <w:t>；</w:t>
            </w:r>
          </w:p>
          <w:p>
            <w:pPr>
              <w:spacing w:line="240" w:lineRule="auto"/>
              <w:jc w:val="center"/>
              <w:rPr>
                <w:rFonts w:hint="default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</w:rPr>
              <w:t>机械臂</w:t>
            </w: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耐久性</w:t>
            </w:r>
            <w:r>
              <w:rPr>
                <w:rFonts w:hint="eastAsia" w:eastAsia="仿宋_GB2312"/>
                <w:kern w:val="0"/>
                <w:sz w:val="24"/>
              </w:rPr>
              <w:t>测试</w:t>
            </w:r>
            <w:r>
              <w:rPr>
                <w:rFonts w:hint="eastAsia" w:eastAsia="仿宋_GB2312"/>
                <w:kern w:val="0"/>
                <w:sz w:val="24"/>
                <w:lang w:eastAsia="zh-CN"/>
              </w:rPr>
              <w:t>，</w:t>
            </w: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见附件8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仿宋_GB2312"/>
                <w:kern w:val="0"/>
                <w:sz w:val="24"/>
                <w:lang w:eastAsia="zh-CN"/>
              </w:rPr>
            </w:pPr>
            <w:r>
              <w:rPr>
                <w:rFonts w:hint="eastAsia" w:eastAsia="仿宋_GB2312"/>
                <w:kern w:val="0"/>
                <w:sz w:val="24"/>
              </w:rPr>
              <w:t>供应商</w:t>
            </w:r>
            <w:r>
              <w:rPr>
                <w:rFonts w:hint="eastAsia" w:eastAsia="仿宋_GB2312"/>
                <w:kern w:val="0"/>
                <w:sz w:val="24"/>
                <w:lang w:eastAsia="zh-CN"/>
              </w:rPr>
              <w:t>；</w:t>
            </w:r>
          </w:p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三坛医疗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UPS电源</w:t>
            </w:r>
          </w:p>
        </w:tc>
        <w:tc>
          <w:tcPr>
            <w:tcW w:w="146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充放电次数与温度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CASTLE</w:t>
            </w:r>
            <w:r>
              <w:rPr>
                <w:rFonts w:hint="eastAsia" w:eastAsia="仿宋_GB2312"/>
                <w:kern w:val="0"/>
                <w:sz w:val="24"/>
              </w:rPr>
              <w:t xml:space="preserve"> </w:t>
            </w:r>
            <w:r>
              <w:rPr>
                <w:rFonts w:eastAsia="仿宋_GB2312"/>
                <w:kern w:val="0"/>
                <w:sz w:val="24"/>
              </w:rPr>
              <w:t>1K(6G)</w:t>
            </w:r>
          </w:p>
        </w:tc>
        <w:tc>
          <w:tcPr>
            <w:tcW w:w="121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外购件</w:t>
            </w:r>
          </w:p>
        </w:tc>
        <w:tc>
          <w:tcPr>
            <w:tcW w:w="1110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highlight w:val="none"/>
              </w:rPr>
              <w:t>4年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</w:rPr>
              <w:t>山特UPS3年保内服务，见附件</w:t>
            </w: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9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供应商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升降立柱</w:t>
            </w:r>
          </w:p>
        </w:tc>
        <w:tc>
          <w:tcPr>
            <w:tcW w:w="146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使用次数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JC35EN2-0-A-4-4-24-60/260-0-1-02-2D0-07-G</w:t>
            </w:r>
          </w:p>
        </w:tc>
        <w:tc>
          <w:tcPr>
            <w:tcW w:w="121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外购件</w:t>
            </w:r>
          </w:p>
        </w:tc>
        <w:tc>
          <w:tcPr>
            <w:tcW w:w="1110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不可更换部件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8年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MS-001升降立柱单元测试报告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三坛医疗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控制</w:t>
            </w:r>
          </w:p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电路板</w:t>
            </w:r>
          </w:p>
        </w:tc>
        <w:tc>
          <w:tcPr>
            <w:tcW w:w="146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使用时间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/</w:t>
            </w:r>
          </w:p>
        </w:tc>
        <w:tc>
          <w:tcPr>
            <w:tcW w:w="121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定制件</w:t>
            </w:r>
          </w:p>
        </w:tc>
        <w:tc>
          <w:tcPr>
            <w:tcW w:w="1110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不可更换部件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8年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MS-001控制电路板加速寿命测试报告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三坛医疗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hint="eastAsia" w:eastAsia="仿宋_GB2312"/>
                <w:b/>
                <w:bCs/>
                <w:color w:val="000000"/>
                <w:sz w:val="24"/>
              </w:rPr>
              <w:t>工具包</w:t>
            </w:r>
          </w:p>
        </w:tc>
        <w:tc>
          <w:tcPr>
            <w:tcW w:w="12255" w:type="dxa"/>
            <w:gridSpan w:val="8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定位器</w:t>
            </w:r>
          </w:p>
        </w:tc>
        <w:tc>
          <w:tcPr>
            <w:tcW w:w="146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磨损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/</w:t>
            </w:r>
          </w:p>
        </w:tc>
        <w:tc>
          <w:tcPr>
            <w:tcW w:w="121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定制件</w:t>
            </w:r>
          </w:p>
        </w:tc>
        <w:tc>
          <w:tcPr>
            <w:tcW w:w="1110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50次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MS-001工具包前端器械拆装次数试验报告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三坛医疗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配准板</w:t>
            </w:r>
          </w:p>
        </w:tc>
        <w:tc>
          <w:tcPr>
            <w:tcW w:w="146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使用次数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/</w:t>
            </w:r>
          </w:p>
        </w:tc>
        <w:tc>
          <w:tcPr>
            <w:tcW w:w="121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定制件</w:t>
            </w:r>
          </w:p>
        </w:tc>
        <w:tc>
          <w:tcPr>
            <w:tcW w:w="1110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50次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MS-001工具包前端器械拆装次数试验报告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三坛医疗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套筒</w:t>
            </w:r>
          </w:p>
        </w:tc>
        <w:tc>
          <w:tcPr>
            <w:tcW w:w="146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磨损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/</w:t>
            </w:r>
          </w:p>
        </w:tc>
        <w:tc>
          <w:tcPr>
            <w:tcW w:w="121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定制件</w:t>
            </w:r>
          </w:p>
        </w:tc>
        <w:tc>
          <w:tcPr>
            <w:tcW w:w="1110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50次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MS-001工具包套筒使用次数试验报告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三坛医疗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hint="eastAsia" w:eastAsia="仿宋_GB2312"/>
                <w:b/>
                <w:bCs/>
                <w:color w:val="000000"/>
                <w:sz w:val="24"/>
              </w:rPr>
              <w:t>体位反馈模块</w:t>
            </w:r>
          </w:p>
        </w:tc>
        <w:tc>
          <w:tcPr>
            <w:tcW w:w="12255" w:type="dxa"/>
            <w:gridSpan w:val="8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highlight w:val="none"/>
              </w:rPr>
              <w:t>激光监测器（激光控制板）</w:t>
            </w:r>
          </w:p>
        </w:tc>
        <w:tc>
          <w:tcPr>
            <w:tcW w:w="146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工作时间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仿宋_GB2312"/>
                <w:kern w:val="0"/>
                <w:sz w:val="24"/>
                <w:lang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/</w:t>
            </w:r>
          </w:p>
        </w:tc>
        <w:tc>
          <w:tcPr>
            <w:tcW w:w="121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定制件</w:t>
            </w:r>
          </w:p>
        </w:tc>
        <w:tc>
          <w:tcPr>
            <w:tcW w:w="1110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不</w:t>
            </w:r>
            <w:r>
              <w:rPr>
                <w:rFonts w:hint="eastAsia" w:eastAsia="仿宋_GB2312"/>
                <w:kern w:val="0"/>
                <w:sz w:val="24"/>
              </w:rPr>
              <w:t>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8年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MS-001控制电路板加速寿命测试报告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三坛医疗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仿宋_GB2312"/>
                <w:kern w:val="0"/>
                <w:sz w:val="24"/>
                <w:highlight w:val="none"/>
              </w:rPr>
            </w:pPr>
            <w:r>
              <w:rPr>
                <w:rFonts w:hint="eastAsia" w:eastAsia="仿宋_GB2312"/>
                <w:kern w:val="0"/>
                <w:sz w:val="24"/>
              </w:rPr>
              <w:t>电池</w:t>
            </w:r>
          </w:p>
        </w:tc>
        <w:tc>
          <w:tcPr>
            <w:tcW w:w="1464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工作时间</w:t>
            </w:r>
          </w:p>
        </w:tc>
        <w:tc>
          <w:tcPr>
            <w:tcW w:w="1386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/</w:t>
            </w:r>
          </w:p>
        </w:tc>
        <w:tc>
          <w:tcPr>
            <w:tcW w:w="1215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外购件</w:t>
            </w:r>
          </w:p>
        </w:tc>
        <w:tc>
          <w:tcPr>
            <w:tcW w:w="111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可更换部件</w:t>
            </w:r>
          </w:p>
        </w:tc>
        <w:tc>
          <w:tcPr>
            <w:tcW w:w="1016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</w:rPr>
              <w:t>24</w:t>
            </w: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小时</w:t>
            </w:r>
          </w:p>
        </w:tc>
        <w:tc>
          <w:tcPr>
            <w:tcW w:w="2745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MS-001</w:t>
            </w:r>
            <w:r>
              <w:rPr>
                <w:rFonts w:hint="eastAsia" w:eastAsia="仿宋_GB2312"/>
                <w:kern w:val="0"/>
                <w:sz w:val="24"/>
                <w:highlight w:val="none"/>
              </w:rPr>
              <w:t>激光监测器测试</w:t>
            </w:r>
            <w:r>
              <w:rPr>
                <w:rFonts w:hint="eastAsia" w:eastAsia="仿宋_GB2312"/>
                <w:kern w:val="0"/>
                <w:sz w:val="24"/>
                <w:highlight w:val="none"/>
                <w:lang w:val="en-US" w:eastAsia="zh-CN"/>
              </w:rPr>
              <w:t>报告</w:t>
            </w:r>
          </w:p>
        </w:tc>
        <w:tc>
          <w:tcPr>
            <w:tcW w:w="1185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仿宋_GB2312"/>
                <w:kern w:val="0"/>
                <w:sz w:val="24"/>
              </w:rPr>
            </w:pPr>
            <w:r>
              <w:rPr>
                <w:rFonts w:hint="eastAsia" w:eastAsia="仿宋_GB2312"/>
                <w:kern w:val="0"/>
                <w:sz w:val="24"/>
              </w:rPr>
              <w:t>三坛医疗</w:t>
            </w:r>
          </w:p>
        </w:tc>
        <w:tc>
          <w:tcPr>
            <w:tcW w:w="2134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仿宋_GB2312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_GB2312"/>
                <w:kern w:val="0"/>
                <w:sz w:val="24"/>
                <w:lang w:val="en-US" w:eastAsia="zh-CN"/>
              </w:rPr>
              <w:t>否</w:t>
            </w:r>
          </w:p>
        </w:tc>
      </w:tr>
    </w:tbl>
    <w:p>
      <w:pPr>
        <w:spacing w:line="240" w:lineRule="exact"/>
        <w:ind w:firstLine="640" w:firstLineChars="200"/>
        <w:rPr>
          <w:rFonts w:ascii="黑体" w:hAnsi="黑体" w:eastAsia="黑体"/>
          <w:bCs/>
          <w:sz w:val="32"/>
          <w:szCs w:val="32"/>
        </w:rPr>
      </w:pPr>
    </w:p>
    <w:p>
      <w:pPr>
        <w:spacing w:line="480" w:lineRule="exact"/>
        <w:ind w:firstLine="640" w:firstLineChars="200"/>
        <w:rPr>
          <w:rFonts w:ascii="黑体" w:hAnsi="黑体" w:eastAsia="黑体"/>
          <w:bCs/>
          <w:sz w:val="32"/>
          <w:szCs w:val="32"/>
        </w:rPr>
      </w:pPr>
    </w:p>
    <w:p>
      <w:pPr>
        <w:spacing w:line="480" w:lineRule="exact"/>
        <w:rPr>
          <w:rFonts w:ascii="黑体" w:hAnsi="黑体" w:eastAsia="黑体"/>
          <w:bCs/>
          <w:sz w:val="32"/>
          <w:szCs w:val="32"/>
        </w:rPr>
        <w:sectPr>
          <w:pgSz w:w="16838" w:h="11906" w:orient="landscape"/>
          <w:pgMar w:top="1417" w:right="1417" w:bottom="1134" w:left="1417" w:header="851" w:footer="850" w:gutter="0"/>
          <w:cols w:space="720" w:num="1"/>
          <w:docGrid w:type="lines" w:linePitch="312" w:charSpace="0"/>
        </w:sectPr>
      </w:pPr>
    </w:p>
    <w:p>
      <w:pPr>
        <w:spacing w:line="360" w:lineRule="auto"/>
        <w:ind w:firstLine="640" w:firstLineChars="200"/>
        <w:outlineLvl w:val="0"/>
        <w:rPr>
          <w:rFonts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六、结论</w:t>
      </w:r>
    </w:p>
    <w:p>
      <w:pPr>
        <w:spacing w:line="360" w:lineRule="auto"/>
        <w:ind w:firstLine="640" w:firstLineChars="200"/>
        <w:rPr>
          <w:rFonts w:ascii="仿宋_GB2312" w:hAnsi="华文仿宋" w:eastAsia="仿宋_GB2312"/>
          <w:sz w:val="32"/>
          <w:szCs w:val="32"/>
        </w:rPr>
      </w:pPr>
      <w:r>
        <w:rPr>
          <w:rFonts w:hint="eastAsia" w:ascii="仿宋_GB2312" w:hAnsi="华文仿宋" w:eastAsia="仿宋_GB2312"/>
          <w:color w:val="000000"/>
          <w:sz w:val="32"/>
          <w:szCs w:val="32"/>
        </w:rPr>
        <w:t>综上分析，在考虑了机械运动部件、易损部件等决定产品有效期的关键件的寿命，采用了厂家物料规格书、质量承诺函、第三方认证报告、公司内部的测试报告与分析报告等评价方法的情况下，经风险分析，本产品在手术室环境的使用期限可达</w:t>
      </w:r>
      <w:r>
        <w:rPr>
          <w:rFonts w:hint="eastAsia" w:ascii="仿宋_GB2312" w:eastAsia="仿宋_GB2312"/>
          <w:color w:val="000000"/>
          <w:sz w:val="32"/>
          <w:szCs w:val="32"/>
        </w:rPr>
        <w:t>8</w:t>
      </w:r>
      <w:r>
        <w:rPr>
          <w:rFonts w:hint="eastAsia" w:ascii="仿宋_GB2312" w:hAnsi="华文仿宋" w:eastAsia="仿宋_GB2312"/>
          <w:color w:val="000000"/>
          <w:sz w:val="32"/>
          <w:szCs w:val="32"/>
        </w:rPr>
        <w:t>年。</w:t>
      </w:r>
      <w:r>
        <w:rPr>
          <w:rFonts w:hint="eastAsia" w:ascii="仿宋_GB2312" w:hAnsi="华文仿宋" w:eastAsia="仿宋_GB2312"/>
          <w:sz w:val="32"/>
          <w:szCs w:val="32"/>
        </w:rPr>
        <w:t>在产品说明书中体现。</w:t>
      </w:r>
    </w:p>
    <w:p>
      <w:pPr>
        <w:spacing w:line="360" w:lineRule="auto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pacing w:line="360" w:lineRule="auto"/>
        <w:ind w:firstLine="640" w:firstLineChars="200"/>
        <w:outlineLvl w:val="0"/>
        <w:rPr>
          <w:rFonts w:eastAsia="仿宋_GB2312" w:cs="仿宋_GB2312"/>
          <w:sz w:val="32"/>
          <w:szCs w:val="32"/>
          <w:highlight w:val="none"/>
        </w:rPr>
      </w:pPr>
      <w:r>
        <w:rPr>
          <w:rFonts w:hint="eastAsia" w:ascii="黑体" w:hAnsi="黑体" w:eastAsia="黑体"/>
          <w:bCs/>
          <w:sz w:val="32"/>
          <w:szCs w:val="32"/>
          <w:highlight w:val="none"/>
        </w:rPr>
        <w:t>七、附件</w:t>
      </w:r>
    </w:p>
    <w:p>
      <w:pPr>
        <w:spacing w:line="360" w:lineRule="auto"/>
        <w:rPr>
          <w:rFonts w:hint="eastAsia" w:ascii="仿宋" w:hAnsi="仿宋" w:eastAsia="仿宋" w:cs="仿宋"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sz w:val="32"/>
          <w:szCs w:val="32"/>
        </w:rPr>
        <w:t>（一）</w:t>
      </w:r>
      <w:r>
        <w:rPr>
          <w:rFonts w:hint="eastAsia" w:ascii="仿宋" w:hAnsi="仿宋" w:eastAsia="仿宋" w:cs="仿宋"/>
          <w:kern w:val="0"/>
          <w:sz w:val="32"/>
          <w:szCs w:val="32"/>
        </w:rPr>
        <w:t>HP Elite/Pro系列MTBF证书</w:t>
      </w:r>
    </w:p>
    <w:p>
      <w:pPr>
        <w:spacing w:line="360" w:lineRule="auto"/>
        <w:rPr>
          <w:rFonts w:hint="eastAsia" w:ascii="仿宋" w:hAnsi="仿宋" w:eastAsia="仿宋" w:cs="仿宋"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sz w:val="32"/>
          <w:szCs w:val="32"/>
        </w:rPr>
        <w:t>（二）MTBF_25C_SR332-2_NEVOALL</w:t>
      </w:r>
    </w:p>
    <w:p>
      <w:pPr>
        <w:spacing w:before="156" w:after="156" w:line="360" w:lineRule="auto"/>
        <w:ind w:left="420" w:leftChars="0" w:firstLine="420" w:firstLineChars="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电源NEVO+600M-1233 FPMH MTBF报告</w:t>
      </w:r>
    </w:p>
    <w:p>
      <w:pPr>
        <w:spacing w:before="156" w:after="156" w:line="360" w:lineRule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</w:rPr>
        <w:t>（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三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）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color w:val="000000"/>
          <w:sz w:val="32"/>
          <w:szCs w:val="32"/>
        </w:rPr>
        <w:instrText xml:space="preserve"> HYPERLINK "../../03-设计开发输出阶段/04结构/03结构测试验证/应力分析/MS-001规划模块焊接框架应力分析.docx" </w:instrText>
      </w:r>
      <w:r>
        <w:rPr>
          <w:rFonts w:hint="eastAsia" w:ascii="仿宋" w:hAnsi="仿宋" w:eastAsia="仿宋" w:cs="仿宋"/>
          <w:color w:val="000000"/>
          <w:sz w:val="32"/>
          <w:szCs w:val="32"/>
        </w:rPr>
        <w:fldChar w:fldCharType="separate"/>
      </w:r>
      <w:r>
        <w:rPr>
          <w:rStyle w:val="10"/>
          <w:rFonts w:hint="eastAsia" w:ascii="仿宋" w:hAnsi="仿宋" w:eastAsia="仿宋" w:cs="仿宋"/>
          <w:color w:val="000000"/>
          <w:sz w:val="32"/>
          <w:szCs w:val="32"/>
        </w:rPr>
        <w:t>MS-001规划模块焊接框架应力分析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fldChar w:fldCharType="end"/>
      </w:r>
    </w:p>
    <w:p>
      <w:pPr>
        <w:spacing w:before="156" w:after="156"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四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）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instrText xml:space="preserve"> HYPERLINK "附件/MS-001外壳加速寿命测试报告.docx" </w:instrTex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fldChar w:fldCharType="separate"/>
      </w:r>
      <w:r>
        <w:rPr>
          <w:rStyle w:val="10"/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MS-001</w:t>
      </w:r>
      <w:r>
        <w:rPr>
          <w:rStyle w:val="10"/>
          <w:rFonts w:hint="eastAsia" w:ascii="仿宋" w:hAnsi="仿宋" w:eastAsia="仿宋" w:cs="仿宋"/>
          <w:sz w:val="32"/>
          <w:szCs w:val="32"/>
          <w:highlight w:val="none"/>
        </w:rPr>
        <w:t>外壳加速寿命测试报告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fldChar w:fldCharType="end"/>
      </w:r>
    </w:p>
    <w:p>
      <w:pPr>
        <w:spacing w:before="156" w:after="156"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五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）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instrText xml:space="preserve"> HYPERLINK "附件/MS-001控制电路板加速寿命测试报告.docx" </w:instrTex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fldChar w:fldCharType="separate"/>
      </w:r>
      <w:r>
        <w:rPr>
          <w:rStyle w:val="10"/>
          <w:rFonts w:hint="eastAsia" w:ascii="仿宋" w:hAnsi="仿宋" w:eastAsia="仿宋" w:cs="仿宋"/>
          <w:sz w:val="32"/>
          <w:szCs w:val="32"/>
          <w:highlight w:val="none"/>
          <w:lang w:eastAsia="zh-CN"/>
        </w:rPr>
        <w:t>MS-001控制电路板加速寿命测试报告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fldChar w:fldCharType="end"/>
      </w:r>
      <w:bookmarkStart w:id="0" w:name="_GoBack"/>
      <w:bookmarkEnd w:id="0"/>
    </w:p>
    <w:p>
      <w:pPr>
        <w:spacing w:before="156" w:after="156" w:line="360" w:lineRule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u w:val="none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szCs w:val="32"/>
          <w:u w:val="none"/>
          <w:lang w:val="en-US" w:eastAsia="zh-CN"/>
        </w:rPr>
        <w:t>六</w:t>
      </w:r>
      <w:r>
        <w:rPr>
          <w:rFonts w:hint="eastAsia" w:ascii="仿宋" w:hAnsi="仿宋" w:eastAsia="仿宋" w:cs="仿宋"/>
          <w:color w:val="auto"/>
          <w:sz w:val="32"/>
          <w:szCs w:val="32"/>
          <w:u w:val="none"/>
          <w:lang w:eastAsia="zh-CN"/>
        </w:rPr>
        <w:t>）</w:t>
      </w:r>
      <w:r>
        <w:rPr>
          <w:rFonts w:hint="eastAsia" w:ascii="仿宋" w:hAnsi="仿宋" w:eastAsia="仿宋" w:cs="仿宋"/>
          <w:color w:val="auto"/>
          <w:sz w:val="32"/>
          <w:szCs w:val="32"/>
          <w:u w:val="none"/>
          <w:lang w:eastAsia="zh-CN"/>
        </w:rPr>
        <w:fldChar w:fldCharType="begin"/>
      </w:r>
      <w:r>
        <w:rPr>
          <w:rFonts w:hint="eastAsia" w:ascii="仿宋" w:hAnsi="仿宋" w:eastAsia="仿宋" w:cs="仿宋"/>
          <w:color w:val="auto"/>
          <w:sz w:val="32"/>
          <w:szCs w:val="32"/>
          <w:u w:val="none"/>
          <w:lang w:eastAsia="zh-CN"/>
        </w:rPr>
        <w:instrText xml:space="preserve"> HYPERLINK "../../03-设计开发输出阶段/04结构/03结构测试验证/应力分析/MS-001导引模块框架静应力分析.docx" </w:instrText>
      </w:r>
      <w:r>
        <w:rPr>
          <w:rFonts w:hint="eastAsia" w:ascii="仿宋" w:hAnsi="仿宋" w:eastAsia="仿宋" w:cs="仿宋"/>
          <w:color w:val="auto"/>
          <w:sz w:val="32"/>
          <w:szCs w:val="32"/>
          <w:u w:val="none"/>
          <w:lang w:eastAsia="zh-CN"/>
        </w:rPr>
        <w:fldChar w:fldCharType="separate"/>
      </w:r>
      <w:r>
        <w:rPr>
          <w:rStyle w:val="10"/>
          <w:rFonts w:hint="eastAsia" w:ascii="仿宋" w:hAnsi="仿宋" w:eastAsia="仿宋" w:cs="仿宋"/>
          <w:sz w:val="32"/>
          <w:szCs w:val="32"/>
          <w:lang w:eastAsia="zh-CN"/>
        </w:rPr>
        <w:t>MS-001导引模块焊接框架应力分析</w:t>
      </w:r>
      <w:r>
        <w:rPr>
          <w:rFonts w:hint="eastAsia" w:ascii="仿宋" w:hAnsi="仿宋" w:eastAsia="仿宋" w:cs="仿宋"/>
          <w:color w:val="auto"/>
          <w:sz w:val="32"/>
          <w:szCs w:val="32"/>
          <w:u w:val="none"/>
          <w:lang w:eastAsia="zh-CN"/>
        </w:rPr>
        <w:fldChar w:fldCharType="end"/>
      </w:r>
    </w:p>
    <w:p>
      <w:pPr>
        <w:spacing w:before="156" w:after="156" w:line="360" w:lineRule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七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）</w:t>
      </w:r>
      <w:r>
        <w:rPr>
          <w:rFonts w:hint="eastAsia" w:ascii="仿宋" w:hAnsi="仿宋" w:eastAsia="仿宋" w:cs="仿宋"/>
          <w:sz w:val="32"/>
          <w:szCs w:val="32"/>
        </w:rPr>
        <w:t>UR5软件中文说明书 I II</w:t>
      </w:r>
    </w:p>
    <w:p>
      <w:pPr>
        <w:spacing w:before="156" w:after="156" w:line="360" w:lineRule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八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）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  <w:lang w:eastAsia="zh-CN"/>
        </w:rPr>
        <w:instrText xml:space="preserve"> HYPERLINK "../../03-设计开发输出阶段/02电子/04电子测试验证/MS-001 UR机器人单元测试报告.docx" </w:instrText>
      </w:r>
      <w:r>
        <w:rPr>
          <w:rFonts w:hint="eastAsia" w:ascii="仿宋" w:hAnsi="仿宋" w:eastAsia="仿宋" w:cs="仿宋"/>
          <w:sz w:val="32"/>
          <w:szCs w:val="32"/>
          <w:lang w:eastAsia="zh-CN"/>
        </w:rPr>
        <w:fldChar w:fldCharType="separate"/>
      </w:r>
      <w:r>
        <w:rPr>
          <w:rStyle w:val="10"/>
          <w:rFonts w:hint="eastAsia" w:ascii="仿宋" w:hAnsi="仿宋" w:eastAsia="仿宋" w:cs="仿宋"/>
          <w:sz w:val="32"/>
          <w:szCs w:val="32"/>
          <w:lang w:eastAsia="zh-CN"/>
        </w:rPr>
        <w:t>MS-001 UR机器人单元测试报告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fldChar w:fldCharType="end"/>
      </w:r>
    </w:p>
    <w:p>
      <w:pPr>
        <w:spacing w:before="156" w:after="156" w:line="360" w:lineRule="auto"/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九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）</w:t>
      </w:r>
      <w:r>
        <w:rPr>
          <w:rFonts w:hint="eastAsia" w:ascii="仿宋" w:hAnsi="仿宋" w:eastAsia="仿宋" w:cs="仿宋"/>
          <w:sz w:val="32"/>
          <w:szCs w:val="32"/>
        </w:rPr>
        <w:t>UPS电源CASTLE1K(6G)承诺书</w:t>
      </w:r>
      <w:r>
        <w:rPr>
          <w:rFonts w:hint="eastAsia" w:ascii="仿宋" w:hAnsi="仿宋" w:eastAsia="仿宋" w:cs="仿宋"/>
          <w:color w:val="auto"/>
          <w:sz w:val="32"/>
          <w:szCs w:val="32"/>
          <w:lang w:eastAsia="zh-CN"/>
        </w:rPr>
        <w:t>（山特UPS3年保内服务）</w:t>
      </w:r>
    </w:p>
    <w:p>
      <w:pPr>
        <w:spacing w:before="156" w:after="156" w:line="360" w:lineRule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十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）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  <w:lang w:eastAsia="zh-CN"/>
        </w:rPr>
        <w:instrText xml:space="preserve"> HYPERLINK "../../03-设计开发输出阶段/02电子/04电子测试验证/MS-001 升降立柱单元测试报告.docx" </w:instrText>
      </w:r>
      <w:r>
        <w:rPr>
          <w:rFonts w:hint="eastAsia" w:ascii="仿宋" w:hAnsi="仿宋" w:eastAsia="仿宋" w:cs="仿宋"/>
          <w:sz w:val="32"/>
          <w:szCs w:val="32"/>
          <w:lang w:eastAsia="zh-CN"/>
        </w:rPr>
        <w:fldChar w:fldCharType="separate"/>
      </w:r>
      <w:r>
        <w:rPr>
          <w:rStyle w:val="10"/>
          <w:rFonts w:hint="eastAsia" w:ascii="仿宋" w:hAnsi="仿宋" w:eastAsia="仿宋" w:cs="仿宋"/>
          <w:sz w:val="32"/>
          <w:szCs w:val="32"/>
          <w:lang w:eastAsia="zh-CN"/>
        </w:rPr>
        <w:t>MS-001 升降立柱单元测试报告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fldChar w:fldCharType="end"/>
      </w:r>
    </w:p>
    <w:p>
      <w:pPr>
        <w:spacing w:before="156" w:after="156" w:line="360" w:lineRule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十一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）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  <w:lang w:eastAsia="zh-CN"/>
        </w:rPr>
        <w:instrText xml:space="preserve"> HYPERLINK "../../03-设计开发输出阶段/04结构/03结构测试验证/MS-001工具包前端器械拆装次数试验报告.docx" </w:instrText>
      </w:r>
      <w:r>
        <w:rPr>
          <w:rFonts w:hint="eastAsia" w:ascii="仿宋" w:hAnsi="仿宋" w:eastAsia="仿宋" w:cs="仿宋"/>
          <w:sz w:val="32"/>
          <w:szCs w:val="32"/>
          <w:lang w:eastAsia="zh-CN"/>
        </w:rPr>
        <w:fldChar w:fldCharType="separate"/>
      </w:r>
      <w:r>
        <w:rPr>
          <w:rStyle w:val="10"/>
          <w:rFonts w:hint="eastAsia" w:ascii="仿宋" w:hAnsi="仿宋" w:eastAsia="仿宋" w:cs="仿宋"/>
          <w:sz w:val="32"/>
          <w:szCs w:val="32"/>
          <w:lang w:eastAsia="zh-CN"/>
        </w:rPr>
        <w:t>MS-001工具包前端器械拆装次数试验报告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fldChar w:fldCharType="end"/>
      </w:r>
      <w:r>
        <w:rPr>
          <w:rFonts w:hint="eastAsia" w:ascii="仿宋" w:hAnsi="仿宋" w:eastAsia="仿宋" w:cs="仿宋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sz w:val="32"/>
          <w:szCs w:val="32"/>
          <w:lang w:val="en-US" w:eastAsia="zh-CN"/>
        </w:rPr>
        <w:t>（含</w:t>
      </w:r>
      <w:r>
        <w:rPr>
          <w:rFonts w:hint="eastAsia" w:ascii="仿宋" w:hAnsi="仿宋" w:eastAsia="仿宋" w:cs="仿宋"/>
          <w:i w:val="0"/>
          <w:iCs w:val="0"/>
          <w:sz w:val="32"/>
          <w:szCs w:val="32"/>
        </w:rPr>
        <w:t>定位器+配准板</w:t>
      </w:r>
      <w:r>
        <w:rPr>
          <w:rFonts w:hint="eastAsia" w:ascii="仿宋" w:hAnsi="仿宋" w:eastAsia="仿宋" w:cs="仿宋"/>
          <w:i w:val="0"/>
          <w:iCs w:val="0"/>
          <w:sz w:val="32"/>
          <w:szCs w:val="32"/>
          <w:lang w:eastAsia="zh-CN"/>
        </w:rPr>
        <w:t>）</w:t>
      </w:r>
    </w:p>
    <w:p>
      <w:pPr>
        <w:spacing w:before="156" w:after="156" w:line="360" w:lineRule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（十二）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instrText xml:space="preserve"> HYPERLINK "../../03-设计开发输出阶段/04结构/03结构测试验证/MS-001工具包套筒使用次数试验报告.docx" </w:instrTex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separate"/>
      </w:r>
      <w:r>
        <w:rPr>
          <w:rStyle w:val="10"/>
          <w:rFonts w:hint="eastAsia" w:ascii="仿宋" w:hAnsi="仿宋" w:eastAsia="仿宋" w:cs="仿宋"/>
          <w:sz w:val="32"/>
          <w:szCs w:val="32"/>
          <w:lang w:val="en-US" w:eastAsia="zh-CN"/>
        </w:rPr>
        <w:t>MS-001工具包套筒使用次数试验报告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end"/>
      </w:r>
    </w:p>
    <w:p>
      <w:pPr>
        <w:spacing w:before="156" w:after="156" w:line="360" w:lineRule="auto"/>
        <w:rPr>
          <w:rFonts w:hint="eastAsia" w:eastAsia="仿宋_GB2312"/>
          <w:kern w:val="0"/>
          <w:sz w:val="24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十三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）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  <w:lang w:eastAsia="zh-CN"/>
        </w:rPr>
        <w:instrText xml:space="preserve"> HYPERLINK "../../03-设计开发输出阶段/02电子/04电子测试验证/MS-001 激光监测器测试报告.docx" </w:instrText>
      </w:r>
      <w:r>
        <w:rPr>
          <w:rFonts w:hint="eastAsia" w:ascii="仿宋" w:hAnsi="仿宋" w:eastAsia="仿宋" w:cs="仿宋"/>
          <w:sz w:val="32"/>
          <w:szCs w:val="32"/>
          <w:lang w:eastAsia="zh-CN"/>
        </w:rPr>
        <w:fldChar w:fldCharType="separate"/>
      </w:r>
      <w:r>
        <w:rPr>
          <w:rStyle w:val="10"/>
          <w:rFonts w:hint="eastAsia" w:ascii="仿宋" w:hAnsi="仿宋" w:eastAsia="仿宋" w:cs="仿宋"/>
          <w:sz w:val="32"/>
          <w:szCs w:val="32"/>
          <w:lang w:eastAsia="zh-CN"/>
        </w:rPr>
        <w:t>MS-001 激光监测器测试报告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fldChar w:fldCharType="end"/>
      </w:r>
    </w:p>
    <w:p>
      <w:pPr>
        <w:spacing w:line="480" w:lineRule="exact"/>
        <w:ind w:firstLine="640" w:firstLineChars="200"/>
        <w:rPr>
          <w:rFonts w:ascii="仿宋_GB2312" w:hAnsi="华文仿宋" w:eastAsia="仿宋_GB2312"/>
          <w:color w:val="000000"/>
          <w:sz w:val="32"/>
          <w:szCs w:val="32"/>
        </w:rPr>
      </w:pPr>
    </w:p>
    <w:p>
      <w:pPr>
        <w:spacing w:line="20" w:lineRule="exact"/>
        <w:rPr>
          <w:rFonts w:ascii="方正仿宋简体" w:hAnsi="仿宋" w:eastAsia="方正仿宋简体"/>
          <w:sz w:val="28"/>
          <w:szCs w:val="28"/>
        </w:rPr>
      </w:pPr>
    </w:p>
    <w:p/>
    <w:sectPr>
      <w:pgSz w:w="11906" w:h="16838"/>
      <w:pgMar w:top="1928" w:right="1531" w:bottom="1814" w:left="1531" w:header="851" w:footer="124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28"/>
        <w:szCs w:val="28"/>
      </w:rPr>
    </w:pPr>
    <w:r>
      <w:rPr>
        <w:rFonts w:hint="eastAsia"/>
        <w:color w:val="FFFFFF"/>
        <w:sz w:val="28"/>
        <w:szCs w:val="28"/>
      </w:rPr>
      <w:t>—</w:t>
    </w:r>
    <w:r>
      <w:rPr>
        <w:rFonts w:hint="eastAsia"/>
        <w:sz w:val="28"/>
        <w:szCs w:val="28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rFonts w:hint="eastAsia"/>
        <w:sz w:val="28"/>
        <w:szCs w:val="28"/>
      </w:rPr>
      <w:t xml:space="preserve"> —</w:t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sz w:val="28"/>
        <w:szCs w:val="28"/>
      </w:rPr>
    </w:pPr>
    <w:r>
      <w:rPr>
        <w:rFonts w:hint="eastAsia"/>
        <w:sz w:val="28"/>
        <w:szCs w:val="28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1</w:t>
    </w:r>
    <w:r>
      <w:rPr>
        <w:sz w:val="28"/>
        <w:szCs w:val="28"/>
      </w:rPr>
      <w:fldChar w:fldCharType="end"/>
    </w:r>
    <w:r>
      <w:rPr>
        <w:rFonts w:hint="eastAsia"/>
        <w:sz w:val="28"/>
        <w:szCs w:val="28"/>
      </w:rPr>
      <w:t xml:space="preserve"> —</w:t>
    </w:r>
    <w:r>
      <w:rPr>
        <w:rFonts w:hint="eastAsia"/>
        <w:color w:val="FFFFFF"/>
        <w:sz w:val="28"/>
        <w:szCs w:val="28"/>
      </w:rPr>
      <w:t>—</w:t>
    </w:r>
  </w:p>
  <w:p>
    <w:pPr>
      <w:pStyle w:val="3"/>
      <w:wordWrap w:val="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right"/>
    </w:pPr>
    <w:r>
      <w:rPr>
        <w:rFonts w:hint="eastAsia"/>
      </w:rPr>
      <w:t>杭州三坛医疗科技有限公司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304032A1"/>
    <w:rsid w:val="000C4910"/>
    <w:rsid w:val="00165734"/>
    <w:rsid w:val="005445DB"/>
    <w:rsid w:val="005647D4"/>
    <w:rsid w:val="00574EC4"/>
    <w:rsid w:val="005E544A"/>
    <w:rsid w:val="00843154"/>
    <w:rsid w:val="00A336D3"/>
    <w:rsid w:val="00F069A0"/>
    <w:rsid w:val="051F6E0B"/>
    <w:rsid w:val="05E21EBF"/>
    <w:rsid w:val="07DC0268"/>
    <w:rsid w:val="0B5C179E"/>
    <w:rsid w:val="0CA13DC5"/>
    <w:rsid w:val="106D5EA2"/>
    <w:rsid w:val="113B0990"/>
    <w:rsid w:val="12D61506"/>
    <w:rsid w:val="13397BCE"/>
    <w:rsid w:val="145A1533"/>
    <w:rsid w:val="15770086"/>
    <w:rsid w:val="16D109F3"/>
    <w:rsid w:val="171448A7"/>
    <w:rsid w:val="1A6F1573"/>
    <w:rsid w:val="20B74EF7"/>
    <w:rsid w:val="22800579"/>
    <w:rsid w:val="25B1707C"/>
    <w:rsid w:val="26534C43"/>
    <w:rsid w:val="28424B6B"/>
    <w:rsid w:val="2B046D0D"/>
    <w:rsid w:val="2CDB646C"/>
    <w:rsid w:val="2E4A4083"/>
    <w:rsid w:val="304032A1"/>
    <w:rsid w:val="304206CE"/>
    <w:rsid w:val="31F6265E"/>
    <w:rsid w:val="32B52C81"/>
    <w:rsid w:val="352D6047"/>
    <w:rsid w:val="3698148D"/>
    <w:rsid w:val="379D43B6"/>
    <w:rsid w:val="3EF668A9"/>
    <w:rsid w:val="3F746C6A"/>
    <w:rsid w:val="405F2F97"/>
    <w:rsid w:val="40C00937"/>
    <w:rsid w:val="42220DA3"/>
    <w:rsid w:val="42A0137E"/>
    <w:rsid w:val="47504DA7"/>
    <w:rsid w:val="48194C26"/>
    <w:rsid w:val="4E6258C0"/>
    <w:rsid w:val="4FA42550"/>
    <w:rsid w:val="53193986"/>
    <w:rsid w:val="53733096"/>
    <w:rsid w:val="54606227"/>
    <w:rsid w:val="55A60CDA"/>
    <w:rsid w:val="580B67AE"/>
    <w:rsid w:val="58A84B13"/>
    <w:rsid w:val="63CA09D8"/>
    <w:rsid w:val="659A58FC"/>
    <w:rsid w:val="65F851DF"/>
    <w:rsid w:val="68D62E25"/>
    <w:rsid w:val="6A734449"/>
    <w:rsid w:val="6BA00A8E"/>
    <w:rsid w:val="72DF4012"/>
    <w:rsid w:val="7355476F"/>
    <w:rsid w:val="757A60AE"/>
    <w:rsid w:val="772C53A3"/>
    <w:rsid w:val="78D924CC"/>
    <w:rsid w:val="79337C3E"/>
    <w:rsid w:val="79EA003C"/>
    <w:rsid w:val="7AC603AC"/>
    <w:rsid w:val="7B7535A0"/>
    <w:rsid w:val="7F904B96"/>
    <w:rsid w:val="7FA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qFormat/>
    <w:uiPriority w:val="0"/>
    <w:pPr>
      <w:jc w:val="left"/>
    </w:p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annotation subject"/>
    <w:basedOn w:val="2"/>
    <w:next w:val="2"/>
    <w:link w:val="13"/>
    <w:qFormat/>
    <w:uiPriority w:val="0"/>
    <w:rPr>
      <w:b/>
      <w:bCs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qFormat/>
    <w:uiPriority w:val="99"/>
    <w:rPr>
      <w:color w:val="0000FF"/>
      <w:u w:val="single"/>
    </w:rPr>
  </w:style>
  <w:style w:type="character" w:styleId="11">
    <w:name w:val="annotation reference"/>
    <w:basedOn w:val="8"/>
    <w:qFormat/>
    <w:uiPriority w:val="0"/>
    <w:rPr>
      <w:sz w:val="21"/>
      <w:szCs w:val="21"/>
    </w:rPr>
  </w:style>
  <w:style w:type="character" w:customStyle="1" w:styleId="12">
    <w:name w:val="批注文字 字符"/>
    <w:basedOn w:val="8"/>
    <w:link w:val="2"/>
    <w:qFormat/>
    <w:uiPriority w:val="0"/>
    <w:rPr>
      <w:kern w:val="2"/>
      <w:sz w:val="21"/>
      <w:szCs w:val="24"/>
    </w:rPr>
  </w:style>
  <w:style w:type="character" w:customStyle="1" w:styleId="13">
    <w:name w:val="批注主题 字符"/>
    <w:basedOn w:val="12"/>
    <w:link w:val="5"/>
    <w:qFormat/>
    <w:uiPriority w:val="0"/>
    <w:rPr>
      <w:b/>
      <w:bCs/>
      <w:kern w:val="2"/>
      <w:sz w:val="21"/>
      <w:szCs w:val="24"/>
    </w:rPr>
  </w:style>
  <w:style w:type="paragraph" w:customStyle="1" w:styleId="14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1333</Words>
  <Characters>1730</Characters>
  <Lines>15</Lines>
  <Paragraphs>4</Paragraphs>
  <TotalTime>26</TotalTime>
  <ScaleCrop>false</ScaleCrop>
  <LinksUpToDate>false</LinksUpToDate>
  <CharactersWithSpaces>1760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2022-12-01T03:05:00Z</dcterms:created>
  <dc:creator>詹</dc:creator>
  <cp:lastModifiedBy>wuhui</cp:lastModifiedBy>
  <dcterms:modified xsi:type="dcterms:W3CDTF">2023-08-23T09:16:21Z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2CED3926B59B4BF0B3E86CD6F9570657</vt:lpwstr>
  </property>
</Properties>
</file>