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cs="宋体"/>
        </w:rPr>
      </w:pPr>
    </w:p>
    <w:p>
      <w:pPr>
        <w:wordWrap w:val="0"/>
        <w:jc w:val="right"/>
        <w:rPr>
          <w:rFonts w:ascii="宋体" w:hAnsi="宋体" w:cs="宋体"/>
          <w:sz w:val="28"/>
          <w:szCs w:val="28"/>
        </w:rPr>
      </w:pPr>
      <w:r>
        <w:rPr>
          <w:rFonts w:hint="eastAsia" w:ascii="宋体" w:hAnsi="宋体" w:cs="宋体"/>
          <w:sz w:val="28"/>
          <w:szCs w:val="28"/>
        </w:rPr>
        <w:t>项目编号：MS-002</w:t>
      </w:r>
    </w:p>
    <w:p>
      <w:pPr>
        <w:jc w:val="center"/>
        <w:rPr>
          <w:rFonts w:ascii="黑体" w:hAnsi="黑体" w:eastAsia="黑体" w:cs="黑体"/>
          <w:sz w:val="56"/>
          <w:szCs w:val="56"/>
        </w:rPr>
      </w:pPr>
    </w:p>
    <w:p>
      <w:pPr>
        <w:jc w:val="center"/>
        <w:rPr>
          <w:rFonts w:ascii="黑体" w:hAnsi="黑体" w:eastAsia="黑体" w:cs="黑体"/>
          <w:sz w:val="56"/>
          <w:szCs w:val="56"/>
        </w:rPr>
      </w:pPr>
    </w:p>
    <w:p>
      <w:pPr>
        <w:jc w:val="center"/>
        <w:rPr>
          <w:rFonts w:ascii="黑体" w:hAnsi="黑体" w:eastAsia="黑体" w:cs="黑体"/>
          <w:sz w:val="56"/>
          <w:szCs w:val="56"/>
        </w:rPr>
      </w:pPr>
    </w:p>
    <w:p>
      <w:pPr>
        <w:jc w:val="center"/>
        <w:rPr>
          <w:rFonts w:ascii="黑体" w:hAnsi="黑体" w:eastAsia="黑体" w:cs="黑体"/>
          <w:b/>
          <w:bCs/>
          <w:sz w:val="56"/>
          <w:szCs w:val="56"/>
        </w:rPr>
      </w:pPr>
      <w:r>
        <w:rPr>
          <w:rFonts w:hint="eastAsia" w:ascii="黑体" w:hAnsi="黑体" w:eastAsia="黑体" w:cs="黑体"/>
          <w:b/>
          <w:bCs/>
          <w:sz w:val="56"/>
          <w:szCs w:val="56"/>
        </w:rPr>
        <w:t>MS-002</w:t>
      </w:r>
    </w:p>
    <w:p>
      <w:pPr>
        <w:jc w:val="center"/>
        <w:rPr>
          <w:rFonts w:ascii="黑体" w:hAnsi="黑体" w:eastAsia="黑体" w:cs="黑体"/>
          <w:b/>
          <w:bCs/>
          <w:sz w:val="56"/>
          <w:szCs w:val="56"/>
        </w:rPr>
      </w:pPr>
      <w:r>
        <w:rPr>
          <w:rFonts w:hint="eastAsia" w:ascii="黑体" w:hAnsi="黑体" w:eastAsia="黑体" w:cs="黑体"/>
          <w:b/>
          <w:bCs/>
          <w:sz w:val="56"/>
          <w:szCs w:val="56"/>
        </w:rPr>
        <w:t>市场可行性分析报告</w:t>
      </w:r>
    </w:p>
    <w:p>
      <w:pPr>
        <w:jc w:val="center"/>
        <w:rPr>
          <w:rFonts w:ascii="宋体" w:hAnsi="宋体" w:cs="宋体"/>
          <w:sz w:val="28"/>
          <w:szCs w:val="28"/>
        </w:rPr>
      </w:pPr>
    </w:p>
    <w:p>
      <w:pPr>
        <w:jc w:val="center"/>
        <w:rPr>
          <w:rFonts w:ascii="宋体" w:hAnsi="宋体" w:cs="宋体"/>
          <w:sz w:val="28"/>
          <w:szCs w:val="28"/>
        </w:rPr>
      </w:pPr>
    </w:p>
    <w:p>
      <w:pPr>
        <w:rPr>
          <w:rFonts w:ascii="Times New Roman" w:hAnsi="Times New Roman" w:cs="Times New Roman"/>
        </w:rPr>
      </w:pPr>
    </w:p>
    <w:tbl>
      <w:tblPr>
        <w:tblStyle w:val="19"/>
        <w:tblpPr w:leftFromText="180" w:rightFromText="180" w:vertAnchor="text" w:horzAnchor="page" w:tblpX="2562" w:tblpY="332"/>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75"/>
        <w:gridCol w:w="45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44" w:hRule="atLeast"/>
        </w:trPr>
        <w:tc>
          <w:tcPr>
            <w:tcW w:w="2575" w:type="dxa"/>
            <w:vAlign w:val="center"/>
          </w:tcPr>
          <w:p>
            <w:pPr>
              <w:jc w:val="center"/>
              <w:rPr>
                <w:rFonts w:ascii="Times New Roman" w:hAnsi="Times New Roman" w:cs="宋体"/>
                <w:b/>
                <w:sz w:val="32"/>
                <w:szCs w:val="32"/>
              </w:rPr>
            </w:pPr>
            <w:r>
              <w:rPr>
                <w:rFonts w:hint="eastAsia" w:ascii="Times New Roman" w:hAnsi="Times New Roman" w:cs="宋体"/>
                <w:b/>
                <w:sz w:val="32"/>
                <w:szCs w:val="32"/>
              </w:rPr>
              <w:t>编制/日期：</w:t>
            </w:r>
          </w:p>
        </w:tc>
        <w:tc>
          <w:tcPr>
            <w:tcW w:w="4504" w:type="dxa"/>
            <w:tcBorders>
              <w:bottom w:val="single" w:color="auto" w:sz="4" w:space="0"/>
            </w:tcBorders>
          </w:tcPr>
          <w:p>
            <w:pPr>
              <w:rPr>
                <w:rFonts w:hint="default" w:ascii="Times New Roman" w:hAnsi="Times New Roman" w:eastAsia="宋体"/>
                <w:b/>
                <w:sz w:val="32"/>
                <w:szCs w:val="32"/>
                <w:lang w:val="en-US" w:eastAsia="zh-CN"/>
              </w:rPr>
            </w:pPr>
            <w:r>
              <w:rPr>
                <w:rFonts w:hint="eastAsia" w:ascii="Times New Roman" w:hAnsi="Times New Roman"/>
                <w:b/>
                <w:vanish/>
                <w:color w:val="0000FF"/>
                <w:sz w:val="32"/>
                <w:szCs w:val="32"/>
                <w:lang w:val="en-US" w:eastAsia="zh-CN"/>
              </w:rPr>
              <w:t>严凌霄/2022.02.07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44" w:hRule="atLeast"/>
        </w:trPr>
        <w:tc>
          <w:tcPr>
            <w:tcW w:w="2575" w:type="dxa"/>
            <w:vAlign w:val="center"/>
          </w:tcPr>
          <w:p>
            <w:pPr>
              <w:jc w:val="center"/>
              <w:rPr>
                <w:rFonts w:ascii="Times New Roman" w:hAnsi="Times New Roman" w:cs="宋体"/>
                <w:b/>
                <w:sz w:val="32"/>
                <w:szCs w:val="32"/>
              </w:rPr>
            </w:pPr>
            <w:r>
              <w:rPr>
                <w:rFonts w:hint="eastAsia" w:ascii="Times New Roman" w:hAnsi="Times New Roman" w:cs="宋体"/>
                <w:b/>
                <w:sz w:val="32"/>
                <w:szCs w:val="32"/>
              </w:rPr>
              <w:t>审核/日期：</w:t>
            </w:r>
          </w:p>
        </w:tc>
        <w:tc>
          <w:tcPr>
            <w:tcW w:w="4504" w:type="dxa"/>
            <w:tcBorders>
              <w:top w:val="single" w:color="auto" w:sz="4" w:space="0"/>
              <w:bottom w:val="single" w:color="auto" w:sz="4" w:space="0"/>
            </w:tcBorders>
          </w:tcPr>
          <w:p>
            <w:pPr>
              <w:rPr>
                <w:rFonts w:ascii="Times New Roman" w:hAnsi="Times New Roman"/>
                <w:b/>
                <w:sz w:val="32"/>
                <w:szCs w:val="32"/>
              </w:rPr>
            </w:pPr>
            <w:r>
              <w:rPr>
                <w:rFonts w:hint="eastAsia" w:ascii="Times New Roman" w:hAnsi="Times New Roman"/>
                <w:b/>
                <w:vanish/>
                <w:color w:val="0000FF"/>
                <w:sz w:val="32"/>
                <w:szCs w:val="32"/>
                <w:lang w:val="en-US" w:eastAsia="zh-CN"/>
              </w:rPr>
              <w:t>??/2022.0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76" w:hRule="atLeast"/>
        </w:trPr>
        <w:tc>
          <w:tcPr>
            <w:tcW w:w="2575" w:type="dxa"/>
            <w:vAlign w:val="center"/>
          </w:tcPr>
          <w:p>
            <w:pPr>
              <w:jc w:val="center"/>
              <w:rPr>
                <w:rFonts w:ascii="Times New Roman" w:hAnsi="Times New Roman" w:cs="宋体"/>
                <w:b/>
                <w:sz w:val="32"/>
                <w:szCs w:val="32"/>
              </w:rPr>
            </w:pPr>
            <w:r>
              <w:rPr>
                <w:rFonts w:hint="eastAsia" w:ascii="Times New Roman" w:hAnsi="Times New Roman" w:cs="宋体"/>
                <w:b/>
                <w:sz w:val="32"/>
                <w:szCs w:val="32"/>
              </w:rPr>
              <w:t>批准/日期：</w:t>
            </w:r>
          </w:p>
        </w:tc>
        <w:tc>
          <w:tcPr>
            <w:tcW w:w="4504" w:type="dxa"/>
            <w:tcBorders>
              <w:top w:val="single" w:color="auto" w:sz="4" w:space="0"/>
              <w:bottom w:val="single" w:color="auto" w:sz="4" w:space="0"/>
            </w:tcBorders>
          </w:tcPr>
          <w:p>
            <w:pPr>
              <w:rPr>
                <w:rFonts w:ascii="Times New Roman" w:hAnsi="Times New Roman"/>
                <w:b/>
                <w:sz w:val="32"/>
                <w:szCs w:val="32"/>
              </w:rPr>
            </w:pPr>
            <w:r>
              <w:rPr>
                <w:rFonts w:hint="eastAsia" w:ascii="Times New Roman" w:hAnsi="Times New Roman"/>
                <w:b/>
                <w:vanish/>
                <w:color w:val="0000FF"/>
                <w:sz w:val="32"/>
                <w:szCs w:val="32"/>
                <w:lang w:val="en-US" w:eastAsia="zh-CN"/>
              </w:rPr>
              <w:t>??/2022.0</w:t>
            </w:r>
          </w:p>
        </w:tc>
      </w:tr>
    </w:tbl>
    <w:p>
      <w:pPr>
        <w:rPr>
          <w:rFonts w:ascii="Times New Roman" w:hAnsi="Times New Roman" w:cs="Times New Roman"/>
        </w:rPr>
      </w:pPr>
    </w:p>
    <w:p>
      <w:pPr>
        <w:jc w:val="cente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hAnsi="宋体"/>
          <w:b/>
          <w:szCs w:val="21"/>
        </w:rPr>
      </w:pPr>
    </w:p>
    <w:p>
      <w:pPr>
        <w:jc w:val="center"/>
        <w:rPr>
          <w:rFonts w:hAnsi="宋体"/>
          <w:b/>
          <w:szCs w:val="21"/>
        </w:rPr>
      </w:pPr>
    </w:p>
    <w:p>
      <w:pPr>
        <w:jc w:val="center"/>
        <w:rPr>
          <w:rFonts w:hAnsi="宋体"/>
          <w:b/>
          <w:szCs w:val="21"/>
        </w:rPr>
      </w:pPr>
    </w:p>
    <w:p>
      <w:pPr>
        <w:jc w:val="center"/>
        <w:rPr>
          <w:rFonts w:hAnsi="宋体"/>
          <w:b/>
          <w:szCs w:val="21"/>
        </w:rPr>
      </w:pPr>
    </w:p>
    <w:p>
      <w:pPr>
        <w:jc w:val="center"/>
        <w:rPr>
          <w:rFonts w:ascii="Times New Roman" w:hAnsi="Times New Roman" w:cs="Times New Roman"/>
          <w:b/>
          <w:sz w:val="32"/>
          <w:szCs w:val="40"/>
        </w:rPr>
      </w:pPr>
      <w:r>
        <w:rPr>
          <w:rFonts w:hAnsi="宋体"/>
          <w:b/>
          <w:szCs w:val="21"/>
        </w:rPr>
        <w:t>杭州三坛医疗科技有限公司</w:t>
      </w:r>
    </w:p>
    <w:p>
      <w:pPr>
        <w:jc w:val="center"/>
        <w:rPr>
          <w:rFonts w:ascii="宋体" w:hAnsi="宋体" w:cs="宋体"/>
          <w:sz w:val="28"/>
          <w:szCs w:val="28"/>
        </w:rPr>
      </w:pPr>
    </w:p>
    <w:p>
      <w:pPr>
        <w:jc w:val="center"/>
        <w:rPr>
          <w:rFonts w:ascii="宋体" w:hAnsi="宋体" w:cs="宋体"/>
          <w:sz w:val="28"/>
          <w:szCs w:val="28"/>
        </w:rPr>
      </w:pPr>
    </w:p>
    <w:p>
      <w:pPr>
        <w:jc w:val="center"/>
        <w:rPr>
          <w:b/>
          <w:bCs/>
        </w:rPr>
      </w:pPr>
      <w:r>
        <w:rPr>
          <w:rFonts w:hint="eastAsia"/>
          <w:b/>
          <w:bCs/>
        </w:rPr>
        <w:t>文档修订履历</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2227"/>
        <w:gridCol w:w="3533"/>
        <w:gridCol w:w="1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shd w:val="pct10" w:color="auto" w:fill="auto"/>
            <w:vAlign w:val="center"/>
          </w:tcPr>
          <w:p>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版本号</w:t>
            </w:r>
          </w:p>
        </w:tc>
        <w:tc>
          <w:tcPr>
            <w:tcW w:w="1306" w:type="pct"/>
            <w:shd w:val="pct10" w:color="auto" w:fill="auto"/>
            <w:vAlign w:val="center"/>
          </w:tcPr>
          <w:p>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发布</w:t>
            </w:r>
            <w:r>
              <w:rPr>
                <w:rFonts w:ascii="Times New Roman" w:hAnsi="Times New Roman" w:cs="Times New Roman"/>
                <w:bCs/>
                <w:szCs w:val="21"/>
              </w:rPr>
              <w:t>/</w:t>
            </w:r>
            <w:r>
              <w:rPr>
                <w:rFonts w:ascii="Times New Roman" w:hAnsi="宋体" w:cs="Times New Roman"/>
                <w:bCs/>
                <w:szCs w:val="21"/>
              </w:rPr>
              <w:t>实施日期</w:t>
            </w:r>
          </w:p>
        </w:tc>
        <w:tc>
          <w:tcPr>
            <w:tcW w:w="2072" w:type="pct"/>
            <w:shd w:val="pct10" w:color="auto" w:fill="auto"/>
            <w:vAlign w:val="center"/>
          </w:tcPr>
          <w:p>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更改内容概述</w:t>
            </w:r>
          </w:p>
        </w:tc>
        <w:tc>
          <w:tcPr>
            <w:tcW w:w="955" w:type="pct"/>
            <w:shd w:val="pct10" w:color="auto" w:fill="auto"/>
            <w:vAlign w:val="center"/>
          </w:tcPr>
          <w:p>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r>
              <w:rPr>
                <w:rFonts w:hint="eastAsia" w:ascii="Times New Roman" w:hAnsi="Times New Roman" w:cs="Times New Roman"/>
                <w:bCs/>
                <w:szCs w:val="21"/>
              </w:rPr>
              <w:t>V</w:t>
            </w:r>
            <w:r>
              <w:rPr>
                <w:rFonts w:ascii="Times New Roman" w:hAnsi="Times New Roman" w:cs="Times New Roman"/>
                <w:bCs/>
                <w:szCs w:val="21"/>
              </w:rPr>
              <w:t>1.0</w:t>
            </w: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r>
              <w:rPr>
                <w:rFonts w:ascii="Times New Roman" w:hAnsi="宋体" w:cs="Times New Roman"/>
                <w:bCs/>
                <w:szCs w:val="21"/>
              </w:rPr>
              <w:t>文件新编</w:t>
            </w:r>
          </w:p>
        </w:tc>
        <w:tc>
          <w:tcPr>
            <w:tcW w:w="955" w:type="pct"/>
            <w:vAlign w:val="center"/>
          </w:tcPr>
          <w:p>
            <w:pPr>
              <w:widowControl/>
              <w:snapToGrid w:val="0"/>
              <w:spacing w:line="240" w:lineRule="auto"/>
              <w:jc w:val="center"/>
              <w:rPr>
                <w:rFonts w:ascii="Times New Roman" w:hAnsi="Times New Roman" w:cs="Times New Roman"/>
                <w:bCs/>
                <w:szCs w:val="21"/>
              </w:rPr>
            </w:pPr>
            <w:r>
              <w:rPr>
                <w:rFonts w:hint="eastAsia" w:ascii="Times New Roman" w:hAnsi="Times New Roman" w:cs="Times New Roman"/>
                <w:bCs/>
                <w:szCs w:val="21"/>
              </w:rPr>
              <w:t>严凌霄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65" w:type="pct"/>
            <w:vAlign w:val="center"/>
          </w:tcPr>
          <w:p>
            <w:pPr>
              <w:widowControl/>
              <w:snapToGrid w:val="0"/>
              <w:spacing w:line="240" w:lineRule="auto"/>
              <w:jc w:val="center"/>
              <w:rPr>
                <w:rFonts w:ascii="Times New Roman" w:hAnsi="Times New Roman" w:cs="Times New Roman"/>
                <w:bCs/>
                <w:szCs w:val="21"/>
              </w:rPr>
            </w:pPr>
          </w:p>
        </w:tc>
        <w:tc>
          <w:tcPr>
            <w:tcW w:w="1306" w:type="pct"/>
            <w:vAlign w:val="center"/>
          </w:tcPr>
          <w:p>
            <w:pPr>
              <w:widowControl/>
              <w:snapToGrid w:val="0"/>
              <w:spacing w:line="240" w:lineRule="auto"/>
              <w:jc w:val="center"/>
              <w:rPr>
                <w:rFonts w:ascii="Times New Roman" w:hAnsi="Times New Roman" w:cs="Times New Roman"/>
                <w:bCs/>
                <w:szCs w:val="21"/>
              </w:rPr>
            </w:pPr>
          </w:p>
        </w:tc>
        <w:tc>
          <w:tcPr>
            <w:tcW w:w="2072" w:type="pct"/>
            <w:vAlign w:val="center"/>
          </w:tcPr>
          <w:p>
            <w:pPr>
              <w:widowControl/>
              <w:snapToGrid w:val="0"/>
              <w:spacing w:line="240" w:lineRule="auto"/>
              <w:rPr>
                <w:rFonts w:ascii="Times New Roman" w:hAnsi="Times New Roman" w:cs="Times New Roman"/>
                <w:bCs/>
                <w:szCs w:val="21"/>
              </w:rPr>
            </w:pPr>
          </w:p>
        </w:tc>
        <w:tc>
          <w:tcPr>
            <w:tcW w:w="955" w:type="pct"/>
            <w:vAlign w:val="center"/>
          </w:tcPr>
          <w:p>
            <w:pPr>
              <w:widowControl/>
              <w:snapToGrid w:val="0"/>
              <w:spacing w:line="240" w:lineRule="auto"/>
              <w:jc w:val="center"/>
              <w:rPr>
                <w:rFonts w:ascii="Times New Roman" w:hAnsi="Times New Roman" w:cs="Times New Roman"/>
                <w:bCs/>
                <w:szCs w:val="21"/>
              </w:rPr>
            </w:pPr>
          </w:p>
        </w:tc>
      </w:tr>
    </w:tbl>
    <w:p>
      <w:pPr>
        <w:jc w:val="center"/>
        <w:rPr>
          <w:rFonts w:ascii="宋体" w:hAnsi="宋体" w:cs="宋体"/>
          <w:sz w:val="28"/>
          <w:szCs w:val="28"/>
        </w:rPr>
      </w:pPr>
    </w:p>
    <w:p>
      <w:pPr>
        <w:jc w:val="center"/>
        <w:rPr>
          <w:rFonts w:ascii="宋体" w:hAnsi="宋体" w:cs="宋体"/>
          <w:sz w:val="28"/>
          <w:szCs w:val="28"/>
        </w:rPr>
      </w:pPr>
    </w:p>
    <w:p>
      <w:pPr>
        <w:jc w:val="center"/>
        <w:rPr>
          <w:rFonts w:ascii="宋体" w:hAnsi="宋体" w:cs="宋体"/>
          <w:sz w:val="28"/>
          <w:szCs w:val="28"/>
        </w:rPr>
      </w:pPr>
    </w:p>
    <w:p>
      <w:pPr>
        <w:rPr>
          <w:rFonts w:ascii="宋体" w:hAnsi="宋体" w:cs="宋体"/>
          <w:sz w:val="28"/>
          <w:szCs w:val="28"/>
        </w:rPr>
      </w:pPr>
      <w:r>
        <w:rPr>
          <w:rFonts w:hint="eastAsia" w:ascii="宋体" w:hAnsi="宋体" w:cs="宋体"/>
          <w:sz w:val="28"/>
          <w:szCs w:val="28"/>
        </w:rPr>
        <w:br w:type="page"/>
      </w:r>
    </w:p>
    <w:p>
      <w:pPr>
        <w:jc w:val="center"/>
        <w:rPr>
          <w:rFonts w:ascii="宋体" w:hAnsi="宋体" w:cs="宋体"/>
          <w:sz w:val="28"/>
          <w:szCs w:val="28"/>
        </w:rPr>
      </w:pPr>
    </w:p>
    <w:sdt>
      <w:sdtPr>
        <w:rPr>
          <w:rFonts w:ascii="宋体" w:hAnsi="宋体"/>
        </w:rPr>
        <w:id w:val="147480928"/>
        <w15:color w:val="DBDBDB"/>
        <w:docPartObj>
          <w:docPartGallery w:val="Table of Contents"/>
          <w:docPartUnique/>
        </w:docPartObj>
      </w:sdtPr>
      <w:sdtEndPr>
        <w:rPr>
          <w:rFonts w:hint="eastAsia" w:ascii="宋体" w:hAnsi="宋体" w:cs="宋体"/>
          <w:b/>
          <w:sz w:val="28"/>
          <w:szCs w:val="21"/>
        </w:rPr>
      </w:sdtEndPr>
      <w:sdtContent>
        <w:p>
          <w:pPr>
            <w:spacing w:line="240" w:lineRule="auto"/>
            <w:jc w:val="center"/>
            <w:rPr>
              <w:b/>
              <w:bCs/>
              <w:sz w:val="24"/>
            </w:rPr>
          </w:pPr>
          <w:r>
            <w:rPr>
              <w:rFonts w:ascii="宋体" w:hAnsi="宋体"/>
              <w:b/>
              <w:bCs/>
              <w:sz w:val="24"/>
            </w:rPr>
            <w:t>目</w:t>
          </w:r>
          <w:r>
            <w:rPr>
              <w:rFonts w:hint="eastAsia" w:ascii="宋体" w:hAnsi="宋体"/>
              <w:b/>
              <w:bCs/>
              <w:sz w:val="24"/>
            </w:rPr>
            <w:t xml:space="preserve">  </w:t>
          </w:r>
          <w:r>
            <w:rPr>
              <w:rFonts w:ascii="宋体" w:hAnsi="宋体"/>
              <w:b/>
              <w:bCs/>
              <w:sz w:val="24"/>
            </w:rPr>
            <w:t>录</w:t>
          </w:r>
        </w:p>
        <w:p>
          <w:pPr>
            <w:pStyle w:val="3"/>
            <w:tabs>
              <w:tab w:val="right" w:leader="dot" w:pos="8306"/>
            </w:tabs>
          </w:pPr>
          <w:r>
            <w:rPr>
              <w:rFonts w:hint="eastAsia" w:ascii="宋体" w:hAnsi="宋体" w:cs="宋体"/>
              <w:sz w:val="24"/>
            </w:rPr>
            <w:fldChar w:fldCharType="begin"/>
          </w:r>
          <w:r>
            <w:rPr>
              <w:rFonts w:hint="eastAsia" w:ascii="宋体" w:hAnsi="宋体" w:cs="宋体"/>
              <w:sz w:val="24"/>
            </w:rPr>
            <w:instrText xml:space="preserve">TOC \o "1-2" \h \u </w:instrText>
          </w:r>
          <w:r>
            <w:rPr>
              <w:rFonts w:hint="eastAsia" w:ascii="宋体" w:hAnsi="宋体" w:cs="宋体"/>
              <w:sz w:val="24"/>
            </w:rPr>
            <w:fldChar w:fldCharType="separate"/>
          </w:r>
          <w:r>
            <w:rPr>
              <w:rFonts w:hint="eastAsia" w:ascii="宋体" w:hAnsi="宋体" w:cs="宋体"/>
            </w:rPr>
            <w:fldChar w:fldCharType="begin"/>
          </w:r>
          <w:r>
            <w:rPr>
              <w:rFonts w:hint="eastAsia" w:ascii="宋体" w:hAnsi="宋体" w:cs="宋体"/>
            </w:rPr>
            <w:instrText xml:space="preserve"> HYPERLINK \l _Toc15281 </w:instrText>
          </w:r>
          <w:r>
            <w:rPr>
              <w:rFonts w:hint="eastAsia" w:ascii="宋体" w:hAnsi="宋体" w:cs="宋体"/>
            </w:rPr>
            <w:fldChar w:fldCharType="separate"/>
          </w:r>
          <w:r>
            <w:rPr>
              <w:rFonts w:hint="eastAsia" w:ascii="宋体" w:hAnsi="宋体" w:eastAsia="宋体" w:cs="宋体"/>
            </w:rPr>
            <w:t xml:space="preserve">第一章 </w:t>
          </w:r>
          <w:r>
            <w:rPr>
              <w:rFonts w:hint="eastAsia"/>
            </w:rPr>
            <w:t>市场背景</w:t>
          </w:r>
          <w:r>
            <w:tab/>
          </w:r>
          <w:r>
            <w:fldChar w:fldCharType="begin"/>
          </w:r>
          <w:r>
            <w:instrText xml:space="preserve"> PAGEREF _Toc15281 \h </w:instrText>
          </w:r>
          <w:r>
            <w:fldChar w:fldCharType="separate"/>
          </w:r>
          <w:r>
            <w:t>1</w:t>
          </w:r>
          <w:r>
            <w:fldChar w:fldCharType="end"/>
          </w:r>
          <w:r>
            <w:rPr>
              <w:rFonts w:hint="eastAsia" w:ascii="宋体" w:hAnsi="宋体" w:cs="宋体"/>
            </w:rPr>
            <w:fldChar w:fldCharType="end"/>
          </w:r>
        </w:p>
        <w:p>
          <w:pPr>
            <w:pStyle w:val="17"/>
            <w:tabs>
              <w:tab w:val="right" w:leader="dot" w:pos="8306"/>
            </w:tabs>
          </w:pPr>
          <w:r>
            <w:rPr>
              <w:rFonts w:hint="eastAsia" w:ascii="宋体" w:hAnsi="宋体" w:cs="宋体"/>
            </w:rPr>
            <w:fldChar w:fldCharType="begin"/>
          </w:r>
          <w:r>
            <w:rPr>
              <w:rFonts w:hint="eastAsia" w:ascii="宋体" w:hAnsi="宋体" w:cs="宋体"/>
            </w:rPr>
            <w:instrText xml:space="preserve"> HYPERLINK \l _Toc14610 </w:instrText>
          </w:r>
          <w:r>
            <w:rPr>
              <w:rFonts w:hint="eastAsia" w:ascii="宋体" w:hAnsi="宋体" w:cs="宋体"/>
            </w:rPr>
            <w:fldChar w:fldCharType="separate"/>
          </w:r>
          <w:r>
            <w:rPr>
              <w:rFonts w:hint="eastAsia" w:ascii="宋体" w:hAnsi="宋体" w:eastAsia="宋体" w:cs="宋体"/>
            </w:rPr>
            <w:t xml:space="preserve">1.1. </w:t>
          </w:r>
          <w:r>
            <w:rPr>
              <w:rFonts w:hint="eastAsia"/>
            </w:rPr>
            <w:t>天智航-天玑</w:t>
          </w:r>
          <w:r>
            <w:tab/>
          </w:r>
          <w:r>
            <w:fldChar w:fldCharType="begin"/>
          </w:r>
          <w:r>
            <w:instrText xml:space="preserve"> PAGEREF _Toc14610 \h </w:instrText>
          </w:r>
          <w:r>
            <w:fldChar w:fldCharType="separate"/>
          </w:r>
          <w:r>
            <w:t>4</w:t>
          </w:r>
          <w:r>
            <w:fldChar w:fldCharType="end"/>
          </w:r>
          <w:r>
            <w:rPr>
              <w:rFonts w:hint="eastAsia" w:ascii="宋体" w:hAnsi="宋体" w:cs="宋体"/>
            </w:rPr>
            <w:fldChar w:fldCharType="end"/>
          </w:r>
        </w:p>
        <w:p>
          <w:pPr>
            <w:pStyle w:val="17"/>
            <w:tabs>
              <w:tab w:val="right" w:leader="dot" w:pos="8306"/>
            </w:tabs>
          </w:pPr>
          <w:r>
            <w:rPr>
              <w:rFonts w:hint="eastAsia" w:ascii="宋体" w:hAnsi="宋体" w:cs="宋体"/>
            </w:rPr>
            <w:fldChar w:fldCharType="begin"/>
          </w:r>
          <w:r>
            <w:rPr>
              <w:rFonts w:hint="eastAsia" w:ascii="宋体" w:hAnsi="宋体" w:cs="宋体"/>
            </w:rPr>
            <w:instrText xml:space="preserve"> HYPERLINK \l _Toc3457 </w:instrText>
          </w:r>
          <w:r>
            <w:rPr>
              <w:rFonts w:hint="eastAsia" w:ascii="宋体" w:hAnsi="宋体" w:cs="宋体"/>
            </w:rPr>
            <w:fldChar w:fldCharType="separate"/>
          </w:r>
          <w:r>
            <w:rPr>
              <w:rFonts w:hint="eastAsia" w:ascii="宋体" w:hAnsi="宋体" w:eastAsia="宋体" w:cs="宋体"/>
              <w:bCs/>
            </w:rPr>
            <w:t xml:space="preserve">1.2. </w:t>
          </w:r>
          <w:r>
            <w:rPr>
              <w:rFonts w:hint="eastAsia" w:cs="Times New Roman"/>
              <w:bCs/>
            </w:rPr>
            <w:t>美敦力-Mazor X Stealth</w:t>
          </w:r>
          <w:r>
            <w:rPr>
              <w:rFonts w:hint="eastAsia"/>
            </w:rPr>
            <w:t>.</w:t>
          </w:r>
          <w:r>
            <w:tab/>
          </w:r>
          <w:r>
            <w:fldChar w:fldCharType="begin"/>
          </w:r>
          <w:r>
            <w:instrText xml:space="preserve"> PAGEREF _Toc3457 \h </w:instrText>
          </w:r>
          <w:r>
            <w:fldChar w:fldCharType="separate"/>
          </w:r>
          <w:r>
            <w:t>4</w:t>
          </w:r>
          <w:r>
            <w:fldChar w:fldCharType="end"/>
          </w:r>
          <w:r>
            <w:rPr>
              <w:rFonts w:hint="eastAsia" w:ascii="宋体" w:hAnsi="宋体" w:cs="宋体"/>
            </w:rPr>
            <w:fldChar w:fldCharType="end"/>
          </w:r>
        </w:p>
        <w:p>
          <w:pPr>
            <w:pStyle w:val="17"/>
            <w:tabs>
              <w:tab w:val="right" w:leader="dot" w:pos="8306"/>
            </w:tabs>
          </w:pPr>
          <w:r>
            <w:rPr>
              <w:rFonts w:hint="eastAsia" w:ascii="宋体" w:hAnsi="宋体" w:cs="宋体"/>
            </w:rPr>
            <w:fldChar w:fldCharType="begin"/>
          </w:r>
          <w:r>
            <w:rPr>
              <w:rFonts w:hint="eastAsia" w:ascii="宋体" w:hAnsi="宋体" w:cs="宋体"/>
            </w:rPr>
            <w:instrText xml:space="preserve"> HYPERLINK \l _Toc7219 </w:instrText>
          </w:r>
          <w:r>
            <w:rPr>
              <w:rFonts w:hint="eastAsia" w:ascii="宋体" w:hAnsi="宋体" w:cs="宋体"/>
            </w:rPr>
            <w:fldChar w:fldCharType="separate"/>
          </w:r>
          <w:r>
            <w:rPr>
              <w:rFonts w:hint="eastAsia" w:ascii="宋体" w:hAnsi="宋体" w:eastAsia="宋体" w:cs="宋体"/>
              <w:bCs/>
            </w:rPr>
            <w:t xml:space="preserve">1.3. </w:t>
          </w:r>
          <w:r>
            <w:rPr>
              <w:rFonts w:hint="eastAsia" w:cs="Times New Roman"/>
              <w:bCs/>
            </w:rPr>
            <w:t>Medtech-Rosa One</w:t>
          </w:r>
          <w:r>
            <w:tab/>
          </w:r>
          <w:r>
            <w:fldChar w:fldCharType="begin"/>
          </w:r>
          <w:r>
            <w:instrText xml:space="preserve"> PAGEREF _Toc7219 \h </w:instrText>
          </w:r>
          <w:r>
            <w:fldChar w:fldCharType="separate"/>
          </w:r>
          <w:r>
            <w:t>5</w:t>
          </w:r>
          <w:r>
            <w:fldChar w:fldCharType="end"/>
          </w:r>
          <w:r>
            <w:rPr>
              <w:rFonts w:hint="eastAsia" w:ascii="宋体" w:hAnsi="宋体" w:cs="宋体"/>
            </w:rPr>
            <w:fldChar w:fldCharType="end"/>
          </w:r>
        </w:p>
        <w:p>
          <w:pPr>
            <w:pStyle w:val="17"/>
            <w:tabs>
              <w:tab w:val="right" w:leader="dot" w:pos="8306"/>
            </w:tabs>
          </w:pPr>
          <w:r>
            <w:rPr>
              <w:rFonts w:hint="eastAsia" w:ascii="宋体" w:hAnsi="宋体" w:cs="宋体"/>
            </w:rPr>
            <w:fldChar w:fldCharType="begin"/>
          </w:r>
          <w:r>
            <w:rPr>
              <w:rFonts w:hint="eastAsia" w:ascii="宋体" w:hAnsi="宋体" w:cs="宋体"/>
            </w:rPr>
            <w:instrText xml:space="preserve"> HYPERLINK \l _Toc14098 </w:instrText>
          </w:r>
          <w:r>
            <w:rPr>
              <w:rFonts w:hint="eastAsia" w:ascii="宋体" w:hAnsi="宋体" w:cs="宋体"/>
            </w:rPr>
            <w:fldChar w:fldCharType="separate"/>
          </w:r>
          <w:r>
            <w:rPr>
              <w:rFonts w:hint="eastAsia" w:ascii="宋体" w:hAnsi="宋体" w:eastAsia="宋体" w:cs="宋体"/>
            </w:rPr>
            <w:t xml:space="preserve">1.4. </w:t>
          </w:r>
          <w:r>
            <w:rPr>
              <w:rFonts w:hint="eastAsia"/>
            </w:rPr>
            <w:t>鑫君特-Orthbot</w:t>
          </w:r>
          <w:r>
            <w:tab/>
          </w:r>
          <w:r>
            <w:fldChar w:fldCharType="begin"/>
          </w:r>
          <w:r>
            <w:instrText xml:space="preserve"> PAGEREF _Toc14098 \h </w:instrText>
          </w:r>
          <w:r>
            <w:fldChar w:fldCharType="separate"/>
          </w:r>
          <w:r>
            <w:t>6</w:t>
          </w:r>
          <w:r>
            <w:fldChar w:fldCharType="end"/>
          </w:r>
          <w:r>
            <w:rPr>
              <w:rFonts w:hint="eastAsia" w:ascii="宋体" w:hAnsi="宋体" w:cs="宋体"/>
            </w:rPr>
            <w:fldChar w:fldCharType="end"/>
          </w:r>
        </w:p>
        <w:p>
          <w:pPr>
            <w:pStyle w:val="17"/>
            <w:tabs>
              <w:tab w:val="right" w:leader="dot" w:pos="8306"/>
            </w:tabs>
          </w:pPr>
          <w:r>
            <w:rPr>
              <w:rFonts w:hint="eastAsia" w:ascii="宋体" w:hAnsi="宋体" w:cs="宋体"/>
            </w:rPr>
            <w:fldChar w:fldCharType="begin"/>
          </w:r>
          <w:r>
            <w:rPr>
              <w:rFonts w:hint="eastAsia" w:ascii="宋体" w:hAnsi="宋体" w:cs="宋体"/>
            </w:rPr>
            <w:instrText xml:space="preserve"> HYPERLINK \l _Toc4290 </w:instrText>
          </w:r>
          <w:r>
            <w:rPr>
              <w:rFonts w:hint="eastAsia" w:ascii="宋体" w:hAnsi="宋体" w:cs="宋体"/>
            </w:rPr>
            <w:fldChar w:fldCharType="separate"/>
          </w:r>
          <w:r>
            <w:rPr>
              <w:rFonts w:hint="eastAsia" w:ascii="宋体" w:hAnsi="宋体" w:eastAsia="宋体" w:cs="宋体"/>
            </w:rPr>
            <w:t xml:space="preserve">1.5. </w:t>
          </w:r>
          <w:r>
            <w:rPr>
              <w:rFonts w:hint="eastAsia"/>
            </w:rPr>
            <w:t>参考文献</w:t>
          </w:r>
          <w:r>
            <w:tab/>
          </w:r>
          <w:r>
            <w:fldChar w:fldCharType="begin"/>
          </w:r>
          <w:r>
            <w:instrText xml:space="preserve"> PAGEREF _Toc4290 \h </w:instrText>
          </w:r>
          <w:r>
            <w:fldChar w:fldCharType="separate"/>
          </w:r>
          <w:r>
            <w:t>8</w:t>
          </w:r>
          <w:r>
            <w:fldChar w:fldCharType="end"/>
          </w:r>
          <w:r>
            <w:rPr>
              <w:rFonts w:hint="eastAsia" w:ascii="宋体" w:hAnsi="宋体" w:cs="宋体"/>
            </w:rPr>
            <w:fldChar w:fldCharType="end"/>
          </w:r>
        </w:p>
        <w:p>
          <w:pPr>
            <w:pStyle w:val="3"/>
            <w:tabs>
              <w:tab w:val="right" w:leader="dot" w:pos="8306"/>
            </w:tabs>
          </w:pPr>
          <w:r>
            <w:rPr>
              <w:rFonts w:hint="eastAsia" w:ascii="宋体" w:hAnsi="宋体" w:cs="宋体"/>
            </w:rPr>
            <w:fldChar w:fldCharType="begin"/>
          </w:r>
          <w:r>
            <w:rPr>
              <w:rFonts w:hint="eastAsia" w:ascii="宋体" w:hAnsi="宋体" w:cs="宋体"/>
            </w:rPr>
            <w:instrText xml:space="preserve"> HYPERLINK \l _Toc18231 </w:instrText>
          </w:r>
          <w:r>
            <w:rPr>
              <w:rFonts w:hint="eastAsia" w:ascii="宋体" w:hAnsi="宋体" w:cs="宋体"/>
            </w:rPr>
            <w:fldChar w:fldCharType="separate"/>
          </w:r>
          <w:r>
            <w:rPr>
              <w:rFonts w:hint="eastAsia" w:ascii="宋体" w:hAnsi="宋体" w:eastAsia="宋体" w:cs="宋体"/>
              <w:kern w:val="2"/>
            </w:rPr>
            <w:t xml:space="preserve">第二章 </w:t>
          </w:r>
          <w:r>
            <w:rPr>
              <w:rFonts w:hint="eastAsia"/>
              <w:kern w:val="2"/>
            </w:rPr>
            <w:t>市场接受度评估</w:t>
          </w:r>
          <w:r>
            <w:tab/>
          </w:r>
          <w:r>
            <w:fldChar w:fldCharType="begin"/>
          </w:r>
          <w:r>
            <w:instrText xml:space="preserve"> PAGEREF _Toc18231 \h </w:instrText>
          </w:r>
          <w:r>
            <w:fldChar w:fldCharType="separate"/>
          </w:r>
          <w:r>
            <w:t>9</w:t>
          </w:r>
          <w:r>
            <w:fldChar w:fldCharType="end"/>
          </w:r>
          <w:r>
            <w:rPr>
              <w:rFonts w:hint="eastAsia" w:ascii="宋体" w:hAnsi="宋体" w:cs="宋体"/>
            </w:rPr>
            <w:fldChar w:fldCharType="end"/>
          </w:r>
        </w:p>
        <w:p>
          <w:pPr>
            <w:pStyle w:val="17"/>
            <w:tabs>
              <w:tab w:val="right" w:leader="dot" w:pos="8306"/>
            </w:tabs>
          </w:pPr>
          <w:r>
            <w:rPr>
              <w:rFonts w:hint="eastAsia" w:ascii="宋体" w:hAnsi="宋体" w:cs="宋体"/>
            </w:rPr>
            <w:fldChar w:fldCharType="begin"/>
          </w:r>
          <w:r>
            <w:rPr>
              <w:rFonts w:hint="eastAsia" w:ascii="宋体" w:hAnsi="宋体" w:cs="宋体"/>
            </w:rPr>
            <w:instrText xml:space="preserve"> HYPERLINK \l _Toc20981 </w:instrText>
          </w:r>
          <w:r>
            <w:rPr>
              <w:rFonts w:hint="eastAsia" w:ascii="宋体" w:hAnsi="宋体" w:cs="宋体"/>
            </w:rPr>
            <w:fldChar w:fldCharType="separate"/>
          </w:r>
          <w:r>
            <w:rPr>
              <w:rFonts w:hint="eastAsia" w:ascii="宋体" w:hAnsi="宋体" w:eastAsia="宋体" w:cs="宋体"/>
            </w:rPr>
            <w:t xml:space="preserve">2.1. </w:t>
          </w:r>
          <w:r>
            <w:rPr>
              <w:rFonts w:hint="eastAsia"/>
            </w:rPr>
            <w:t>市场前景</w:t>
          </w:r>
          <w:r>
            <w:tab/>
          </w:r>
          <w:r>
            <w:fldChar w:fldCharType="begin"/>
          </w:r>
          <w:r>
            <w:instrText xml:space="preserve"> PAGEREF _Toc20981 \h </w:instrText>
          </w:r>
          <w:r>
            <w:fldChar w:fldCharType="separate"/>
          </w:r>
          <w:r>
            <w:t>9</w:t>
          </w:r>
          <w:r>
            <w:fldChar w:fldCharType="end"/>
          </w:r>
          <w:r>
            <w:rPr>
              <w:rFonts w:hint="eastAsia" w:ascii="宋体" w:hAnsi="宋体" w:cs="宋体"/>
            </w:rPr>
            <w:fldChar w:fldCharType="end"/>
          </w:r>
        </w:p>
        <w:p>
          <w:pPr>
            <w:pStyle w:val="17"/>
            <w:tabs>
              <w:tab w:val="right" w:leader="dot" w:pos="8306"/>
            </w:tabs>
          </w:pPr>
          <w:r>
            <w:rPr>
              <w:rFonts w:hint="eastAsia" w:ascii="宋体" w:hAnsi="宋体" w:cs="宋体"/>
            </w:rPr>
            <w:fldChar w:fldCharType="begin"/>
          </w:r>
          <w:r>
            <w:rPr>
              <w:rFonts w:hint="eastAsia" w:ascii="宋体" w:hAnsi="宋体" w:cs="宋体"/>
            </w:rPr>
            <w:instrText xml:space="preserve"> HYPERLINK \l _Toc32086 </w:instrText>
          </w:r>
          <w:r>
            <w:rPr>
              <w:rFonts w:hint="eastAsia" w:ascii="宋体" w:hAnsi="宋体" w:cs="宋体"/>
            </w:rPr>
            <w:fldChar w:fldCharType="separate"/>
          </w:r>
          <w:r>
            <w:rPr>
              <w:rFonts w:hint="eastAsia" w:ascii="宋体" w:hAnsi="宋体" w:eastAsia="宋体" w:cs="宋体"/>
            </w:rPr>
            <w:t xml:space="preserve">2.2. </w:t>
          </w:r>
          <w:r>
            <w:rPr>
              <w:rFonts w:hint="default" w:ascii="Times New Roman" w:hAnsi="Times New Roman" w:cs="Times New Roman"/>
            </w:rPr>
            <w:t>医生意见</w:t>
          </w:r>
          <w:r>
            <w:tab/>
          </w:r>
          <w:r>
            <w:fldChar w:fldCharType="begin"/>
          </w:r>
          <w:r>
            <w:instrText xml:space="preserve"> PAGEREF _Toc32086 \h </w:instrText>
          </w:r>
          <w:r>
            <w:fldChar w:fldCharType="separate"/>
          </w:r>
          <w:r>
            <w:t>9</w:t>
          </w:r>
          <w:r>
            <w:fldChar w:fldCharType="end"/>
          </w:r>
          <w:r>
            <w:rPr>
              <w:rFonts w:hint="eastAsia" w:ascii="宋体" w:hAnsi="宋体" w:cs="宋体"/>
            </w:rPr>
            <w:fldChar w:fldCharType="end"/>
          </w:r>
        </w:p>
        <w:p>
          <w:pPr>
            <w:pStyle w:val="17"/>
            <w:tabs>
              <w:tab w:val="right" w:leader="dot" w:pos="8306"/>
            </w:tabs>
          </w:pPr>
          <w:r>
            <w:rPr>
              <w:rFonts w:hint="eastAsia" w:ascii="宋体" w:hAnsi="宋体" w:cs="宋体"/>
            </w:rPr>
            <w:fldChar w:fldCharType="begin"/>
          </w:r>
          <w:r>
            <w:rPr>
              <w:rFonts w:hint="eastAsia" w:ascii="宋体" w:hAnsi="宋体" w:cs="宋体"/>
            </w:rPr>
            <w:instrText xml:space="preserve"> HYPERLINK \l _Toc22166 </w:instrText>
          </w:r>
          <w:r>
            <w:rPr>
              <w:rFonts w:hint="eastAsia" w:ascii="宋体" w:hAnsi="宋体" w:cs="宋体"/>
            </w:rPr>
            <w:fldChar w:fldCharType="separate"/>
          </w:r>
          <w:r>
            <w:rPr>
              <w:rFonts w:hint="eastAsia" w:ascii="宋体" w:hAnsi="宋体" w:eastAsia="宋体" w:cs="宋体"/>
            </w:rPr>
            <w:t xml:space="preserve">2.3. </w:t>
          </w:r>
          <w:r>
            <w:rPr>
              <w:rFonts w:hint="default" w:ascii="Times New Roman" w:hAnsi="Times New Roman" w:cs="Times New Roman"/>
            </w:rPr>
            <w:t>市场部意见</w:t>
          </w:r>
          <w:r>
            <w:tab/>
          </w:r>
          <w:r>
            <w:fldChar w:fldCharType="begin"/>
          </w:r>
          <w:r>
            <w:instrText xml:space="preserve"> PAGEREF _Toc22166 \h </w:instrText>
          </w:r>
          <w:r>
            <w:fldChar w:fldCharType="separate"/>
          </w:r>
          <w:r>
            <w:t>10</w:t>
          </w:r>
          <w:r>
            <w:fldChar w:fldCharType="end"/>
          </w:r>
          <w:r>
            <w:rPr>
              <w:rFonts w:hint="eastAsia" w:ascii="宋体" w:hAnsi="宋体" w:cs="宋体"/>
            </w:rPr>
            <w:fldChar w:fldCharType="end"/>
          </w:r>
        </w:p>
        <w:p>
          <w:pPr>
            <w:pStyle w:val="17"/>
            <w:tabs>
              <w:tab w:val="right" w:leader="dot" w:pos="8306"/>
            </w:tabs>
          </w:pPr>
          <w:r>
            <w:rPr>
              <w:rFonts w:hint="eastAsia" w:ascii="宋体" w:hAnsi="宋体" w:cs="宋体"/>
            </w:rPr>
            <w:fldChar w:fldCharType="begin"/>
          </w:r>
          <w:r>
            <w:rPr>
              <w:rFonts w:hint="eastAsia" w:ascii="宋体" w:hAnsi="宋体" w:cs="宋体"/>
            </w:rPr>
            <w:instrText xml:space="preserve"> HYPERLINK \l _Toc15902 </w:instrText>
          </w:r>
          <w:r>
            <w:rPr>
              <w:rFonts w:hint="eastAsia" w:ascii="宋体" w:hAnsi="宋体" w:cs="宋体"/>
            </w:rPr>
            <w:fldChar w:fldCharType="separate"/>
          </w:r>
          <w:r>
            <w:rPr>
              <w:rFonts w:hint="eastAsia" w:ascii="宋体" w:hAnsi="宋体" w:eastAsia="宋体" w:cs="宋体"/>
            </w:rPr>
            <w:t xml:space="preserve">2.4. </w:t>
          </w:r>
          <w:r>
            <w:rPr>
              <w:rFonts w:hint="default" w:ascii="Times New Roman" w:hAnsi="Times New Roman" w:eastAsia="宋体" w:cs="Times New Roman"/>
            </w:rPr>
            <w:t>市场分析小结</w:t>
          </w:r>
          <w:r>
            <w:tab/>
          </w:r>
          <w:r>
            <w:fldChar w:fldCharType="begin"/>
          </w:r>
          <w:r>
            <w:instrText xml:space="preserve"> PAGEREF _Toc15902 \h </w:instrText>
          </w:r>
          <w:r>
            <w:fldChar w:fldCharType="separate"/>
          </w:r>
          <w:r>
            <w:t>10</w:t>
          </w:r>
          <w:r>
            <w:fldChar w:fldCharType="end"/>
          </w:r>
          <w:r>
            <w:rPr>
              <w:rFonts w:hint="eastAsia" w:ascii="宋体" w:hAnsi="宋体" w:cs="宋体"/>
            </w:rPr>
            <w:fldChar w:fldCharType="end"/>
          </w:r>
        </w:p>
        <w:p>
          <w:pPr>
            <w:jc w:val="center"/>
            <w:rPr>
              <w:rFonts w:ascii="宋体" w:hAnsi="宋体" w:cs="宋体"/>
              <w:szCs w:val="21"/>
            </w:rPr>
          </w:pPr>
          <w:r>
            <w:rPr>
              <w:rFonts w:hint="eastAsia" w:ascii="宋体" w:hAnsi="宋体" w:cs="宋体"/>
            </w:rPr>
            <w:fldChar w:fldCharType="end"/>
          </w:r>
        </w:p>
      </w:sdtContent>
    </w:sdt>
    <w:p>
      <w:pPr>
        <w:rPr>
          <w:rFonts w:ascii="宋体" w:hAnsi="宋体" w:cs="宋体"/>
          <w:sz w:val="32"/>
          <w:szCs w:val="40"/>
        </w:rPr>
      </w:pPr>
    </w:p>
    <w:p>
      <w:pPr>
        <w:pStyle w:val="2"/>
        <w:numPr>
          <w:ilvl w:val="0"/>
          <w:numId w:val="2"/>
        </w:numPr>
        <w:rPr>
          <w:rFonts w:ascii="宋体" w:hAnsi="宋体" w:cs="宋体"/>
          <w:sz w:val="32"/>
          <w:szCs w:val="28"/>
        </w:rPr>
        <w:sectPr>
          <w:footerReference r:id="rId5" w:type="default"/>
          <w:pgSz w:w="11906" w:h="16838"/>
          <w:pgMar w:top="1440" w:right="1800" w:bottom="1440" w:left="1800" w:header="851" w:footer="992" w:gutter="0"/>
          <w:cols w:space="425" w:num="1"/>
          <w:docGrid w:type="lines" w:linePitch="312" w:charSpace="0"/>
        </w:sectPr>
      </w:pPr>
      <w:bookmarkStart w:id="17" w:name="_GoBack"/>
      <w:bookmarkEnd w:id="17"/>
    </w:p>
    <w:p>
      <w:pPr>
        <w:pStyle w:val="2"/>
        <w:sectPr>
          <w:headerReference r:id="rId6" w:type="default"/>
          <w:footerReference r:id="rId7" w:type="default"/>
          <w:type w:val="continuous"/>
          <w:pgSz w:w="11906" w:h="16838"/>
          <w:pgMar w:top="1417" w:right="1800" w:bottom="850" w:left="1800" w:header="851" w:footer="283" w:gutter="0"/>
          <w:cols w:space="0" w:num="1"/>
          <w:docGrid w:type="lines" w:linePitch="380" w:charSpace="0"/>
        </w:sectPr>
      </w:pPr>
    </w:p>
    <w:p>
      <w:pPr>
        <w:pStyle w:val="2"/>
      </w:pPr>
      <w:bookmarkStart w:id="0" w:name="_Toc15281"/>
      <w:r>
        <w:rPr>
          <w:rFonts w:hint="eastAsia"/>
        </w:rPr>
        <w:t>市场背景</w:t>
      </w:r>
      <w:bookmarkEnd w:id="0"/>
    </w:p>
    <w:p>
      <w:pPr>
        <w:widowControl/>
        <w:spacing w:line="360" w:lineRule="auto"/>
        <w:ind w:firstLine="480" w:firstLineChars="200"/>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在临床可行的情况下，MIS（微创外科手术）通常比开放式手术更可取，因为它们涉及更短的恢复期、更低的感染率和更快的恢复率，此外疼痛、失血和组织创伤更少。</w:t>
      </w:r>
    </w:p>
    <w:p>
      <w:pPr>
        <w:widowControl/>
        <w:spacing w:line="360" w:lineRule="auto"/>
        <w:ind w:firstLine="482" w:firstLineChars="200"/>
        <w:jc w:val="left"/>
        <w:rPr>
          <w:rFonts w:hint="default" w:ascii="Times New Roman" w:hAnsi="Times New Roman" w:eastAsia="宋体" w:cs="Times New Roman"/>
          <w:kern w:val="0"/>
          <w:sz w:val="24"/>
          <w:szCs w:val="24"/>
        </w:rPr>
      </w:pPr>
      <w:r>
        <w:rPr>
          <w:rFonts w:hint="default" w:ascii="Times New Roman" w:hAnsi="Times New Roman" w:eastAsia="宋体" w:cs="Times New Roman"/>
          <w:b/>
          <w:bCs/>
          <w:kern w:val="0"/>
          <w:sz w:val="24"/>
          <w:szCs w:val="24"/>
        </w:rPr>
        <w:t>Andrew S.</w:t>
      </w:r>
      <w:r>
        <w:rPr>
          <w:rFonts w:hint="default" w:ascii="Times New Roman" w:hAnsi="Times New Roman" w:eastAsia="宋体" w:cs="Times New Roman"/>
          <w:kern w:val="0"/>
          <w:sz w:val="24"/>
          <w:szCs w:val="24"/>
        </w:rPr>
        <w:t>通过对美国 PearlDiver数据库在2015年第三季度至2018年第二季度期间被查询开放式和微创手术（MIS；内窥镜或经皮）报销数据的分析，</w:t>
      </w:r>
      <w:r>
        <w:rPr>
          <w:rFonts w:hint="default" w:ascii="Times New Roman" w:hAnsi="Times New Roman" w:eastAsia="宋体" w:cs="Times New Roman"/>
          <w:sz w:val="24"/>
          <w:szCs w:val="24"/>
        </w:rPr>
        <w:t>证实了MIS微创技术相对经典开放技术的巨大经济效益。[1]</w:t>
      </w:r>
    </w:p>
    <w:p>
      <w:pPr>
        <w:widowControl/>
        <w:spacing w:line="360" w:lineRule="auto"/>
        <w:ind w:firstLine="420"/>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在后路融合术或椎间盘切除术中，与各自的MIS方法相比，开放式方法的报销率更高。开放式后部1级融合的补偿显著高于相应的MIS手术（$40 485.62 vs 9824.83，P=.015,表1）。多级后部融合也有类似的显著趋势。开放式和MIS椎间盘切除术之间的报销差异为30 429.93美元，开放式椎间盘切除手术的成本明显更高（P=.01；）。</w:t>
      </w:r>
    </w:p>
    <w:p>
      <w:pPr>
        <w:pStyle w:val="12"/>
        <w:widowControl/>
        <w:spacing w:line="240" w:lineRule="auto"/>
        <w:jc w:val="center"/>
        <w:rPr>
          <w:rFonts w:hint="eastAsia" w:ascii="宋体" w:hAnsi="宋体" w:eastAsia="宋体" w:cs="宋体"/>
          <w:kern w:val="0"/>
          <w:sz w:val="24"/>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开放式和MIS融合及椎间盘切除术的平均患者报销额</w:t>
      </w:r>
    </w:p>
    <w:p>
      <w:pPr>
        <w:widowControl/>
        <w:spacing w:line="240" w:lineRule="auto"/>
        <w:jc w:val="left"/>
        <w:rPr>
          <w:rFonts w:ascii="宋体" w:hAnsi="宋体" w:cs="宋体"/>
          <w:kern w:val="0"/>
          <w:sz w:val="24"/>
        </w:rPr>
      </w:pPr>
      <w:r>
        <w:rPr>
          <w:rFonts w:ascii="宋体" w:hAnsi="宋体" w:cs="宋体"/>
          <w:kern w:val="0"/>
          <w:sz w:val="24"/>
        </w:rPr>
        <w:drawing>
          <wp:inline distT="0" distB="0" distL="0" distR="0">
            <wp:extent cx="5274310" cy="2403475"/>
            <wp:effectExtent l="0" t="0" r="2540" b="0"/>
            <wp:docPr id="1145171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1088"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403475"/>
                    </a:xfrm>
                    <a:prstGeom prst="rect">
                      <a:avLst/>
                    </a:prstGeom>
                    <a:noFill/>
                    <a:ln>
                      <a:noFill/>
                    </a:ln>
                  </pic:spPr>
                </pic:pic>
              </a:graphicData>
            </a:graphic>
          </wp:inline>
        </w:drawing>
      </w:r>
    </w:p>
    <w:p>
      <w:pPr>
        <w:pStyle w:val="28"/>
        <w:spacing w:before="156" w:beforeAutospacing="0" w:after="156" w:afterAutospacing="0" w:line="360" w:lineRule="auto"/>
        <w:ind w:firstLine="420"/>
        <w:rPr>
          <w:rFonts w:hint="default" w:ascii="Times New Roman" w:hAnsi="Times New Roman" w:eastAsia="宋体" w:cs="Times New Roman"/>
        </w:rPr>
      </w:pPr>
      <w:r>
        <w:rPr>
          <w:rStyle w:val="27"/>
          <w:rFonts w:hint="default" w:ascii="Times New Roman" w:hAnsi="Times New Roman" w:eastAsia="宋体" w:cs="Times New Roman"/>
        </w:rPr>
        <w:t>2016年，在Mariner索赔数据库中，开放方法的执行频率远高于MIS方法，达到了数量级的差别（</w:t>
      </w:r>
      <w:r>
        <w:rPr>
          <w:rStyle w:val="27"/>
          <w:rFonts w:hint="default" w:ascii="Times New Roman" w:hAnsi="Times New Roman" w:eastAsia="宋体" w:cs="Times New Roman"/>
          <w:lang w:eastAsia="zh-CN"/>
        </w:rPr>
        <w:fldChar w:fldCharType="begin"/>
      </w:r>
      <w:r>
        <w:rPr>
          <w:rStyle w:val="27"/>
          <w:rFonts w:hint="default" w:ascii="Times New Roman" w:hAnsi="Times New Roman" w:eastAsia="宋体" w:cs="Times New Roman"/>
          <w:lang w:eastAsia="zh-CN"/>
        </w:rPr>
        <w:instrText xml:space="preserve"> REF _Ref1763 \h </w:instrText>
      </w:r>
      <w:r>
        <w:rPr>
          <w:rStyle w:val="27"/>
          <w:rFonts w:hint="default" w:ascii="Times New Roman" w:hAnsi="Times New Roman" w:eastAsia="宋体" w:cs="Times New Roman"/>
          <w:lang w:eastAsia="zh-CN"/>
        </w:rPr>
        <w:fldChar w:fldCharType="separate"/>
      </w:r>
      <w:r>
        <w:rPr>
          <w:rFonts w:hint="default" w:ascii="Times New Roman" w:hAnsi="Times New Roman" w:cs="Times New Roman"/>
        </w:rPr>
        <w:t>图 1</w:t>
      </w:r>
      <w:r>
        <w:rPr>
          <w:rStyle w:val="27"/>
          <w:rFonts w:hint="default" w:ascii="Times New Roman" w:hAnsi="Times New Roman" w:eastAsia="宋体" w:cs="Times New Roman"/>
          <w:lang w:eastAsia="zh-CN"/>
        </w:rPr>
        <w:fldChar w:fldCharType="end"/>
      </w:r>
      <w:r>
        <w:rPr>
          <w:rStyle w:val="27"/>
          <w:rFonts w:hint="default" w:ascii="Times New Roman" w:hAnsi="Times New Roman" w:eastAsia="宋体" w:cs="Times New Roman"/>
        </w:rPr>
        <w:t>）。2016年最常见的方法是单级后路融合术和椎间盘切除术，这也与最高的相对总住院报销相关。</w:t>
      </w:r>
    </w:p>
    <w:p>
      <w:pPr>
        <w:widowControl/>
        <w:spacing w:line="360" w:lineRule="auto"/>
        <w:ind w:firstLine="420"/>
        <w:jc w:val="left"/>
        <w:rPr>
          <w:rFonts w:hint="default" w:ascii="Times New Roman" w:hAnsi="Times New Roman" w:eastAsia="宋体" w:cs="Times New Roman"/>
          <w:kern w:val="0"/>
          <w:sz w:val="24"/>
        </w:rPr>
      </w:pPr>
      <w:r>
        <w:rPr>
          <w:rFonts w:hint="default" w:ascii="Times New Roman" w:hAnsi="Times New Roman" w:eastAsia="宋体" w:cs="Times New Roman"/>
          <w:kern w:val="0"/>
          <w:sz w:val="24"/>
        </w:rPr>
        <w:t>然而据报道，MIS技术（使用透视图像导引）使外科医生暴露在辐射下的时间是基于计算机断层扫描（CT）或计算机辅助程序的两倍多[2]；就脊柱手术而言，放射剂量是非脊柱手术后测量的放射剂量的10至12倍[3]。</w:t>
      </w:r>
    </w:p>
    <w:p>
      <w:pPr>
        <w:widowControl/>
        <w:spacing w:line="240" w:lineRule="auto"/>
        <w:jc w:val="center"/>
        <w:rPr>
          <w:rFonts w:ascii="宋体" w:hAnsi="宋体" w:cs="宋体"/>
          <w:kern w:val="0"/>
          <w:sz w:val="24"/>
        </w:rPr>
      </w:pPr>
      <w:r>
        <w:rPr>
          <w:rFonts w:ascii="宋体" w:hAnsi="宋体" w:cs="宋体"/>
          <w:kern w:val="0"/>
          <w:sz w:val="24"/>
        </w:rPr>
        <w:drawing>
          <wp:inline distT="0" distB="0" distL="0" distR="0">
            <wp:extent cx="5274310" cy="4347845"/>
            <wp:effectExtent l="0" t="0" r="2540" b="0"/>
            <wp:docPr id="12113824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8249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347845"/>
                    </a:xfrm>
                    <a:prstGeom prst="rect">
                      <a:avLst/>
                    </a:prstGeom>
                    <a:noFill/>
                    <a:ln>
                      <a:noFill/>
                    </a:ln>
                  </pic:spPr>
                </pic:pic>
              </a:graphicData>
            </a:graphic>
          </wp:inline>
        </w:drawing>
      </w:r>
    </w:p>
    <w:p>
      <w:pPr>
        <w:pStyle w:val="12"/>
        <w:widowControl/>
        <w:spacing w:line="240" w:lineRule="auto"/>
        <w:jc w:val="center"/>
        <w:rPr>
          <w:rFonts w:hint="eastAsia" w:ascii="宋体" w:hAnsi="宋体" w:eastAsia="宋体" w:cs="宋体"/>
          <w:kern w:val="0"/>
          <w:sz w:val="24"/>
          <w:lang w:eastAsia="zh-CN"/>
        </w:rPr>
      </w:pPr>
      <w:bookmarkStart w:id="1" w:name="_Ref1763"/>
      <w:r>
        <w:t xml:space="preserve">图 </w:t>
      </w:r>
      <w:r>
        <w:fldChar w:fldCharType="begin"/>
      </w:r>
      <w:r>
        <w:instrText xml:space="preserve"> SEQ 图 \* ARABIC </w:instrText>
      </w:r>
      <w:r>
        <w:fldChar w:fldCharType="separate"/>
      </w:r>
      <w:r>
        <w:t>1</w:t>
      </w:r>
      <w:r>
        <w:fldChar w:fldCharType="end"/>
      </w:r>
      <w:bookmarkEnd w:id="1"/>
      <w:r>
        <w:rPr>
          <w:rFonts w:hint="eastAsia"/>
          <w:lang w:eastAsia="zh-CN"/>
        </w:rPr>
        <w:t xml:space="preserve"> 2016年的患者人数和（索赔）报销总额</w:t>
      </w:r>
    </w:p>
    <w:p>
      <w:pPr>
        <w:widowControl/>
        <w:spacing w:line="360" w:lineRule="auto"/>
        <w:ind w:firstLine="420"/>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因而</w:t>
      </w:r>
      <w:r>
        <w:rPr>
          <w:rFonts w:hint="default" w:ascii="Times New Roman" w:hAnsi="Times New Roman" w:eastAsia="宋体" w:cs="Times New Roman"/>
          <w:sz w:val="24"/>
          <w:szCs w:val="24"/>
        </w:rPr>
        <w:t>骨科手术导航定位系统</w:t>
      </w:r>
      <w:r>
        <w:rPr>
          <w:rFonts w:hint="default" w:ascii="Times New Roman" w:hAnsi="Times New Roman" w:eastAsia="宋体" w:cs="Times New Roman"/>
          <w:kern w:val="0"/>
          <w:sz w:val="24"/>
          <w:szCs w:val="24"/>
        </w:rPr>
        <w:t>辅助在骨科手术中的应用，</w:t>
      </w:r>
      <w:bookmarkStart w:id="2" w:name="_Hlk142055362"/>
      <w:r>
        <w:rPr>
          <w:rFonts w:hint="default" w:ascii="Times New Roman" w:hAnsi="Times New Roman" w:eastAsia="宋体" w:cs="Times New Roman"/>
          <w:kern w:val="0"/>
          <w:sz w:val="24"/>
          <w:szCs w:val="24"/>
        </w:rPr>
        <w:t>期望为术者带来下面两个主要助益，</w:t>
      </w:r>
      <w:bookmarkEnd w:id="2"/>
      <w:r>
        <w:rPr>
          <w:rFonts w:hint="default" w:ascii="Times New Roman" w:hAnsi="Times New Roman" w:eastAsia="宋体" w:cs="Times New Roman"/>
          <w:kern w:val="0"/>
          <w:sz w:val="24"/>
          <w:szCs w:val="24"/>
        </w:rPr>
        <w:t>一是可以使术者能够于极小辐射暴露条件下，在计划和执行阶段可视化和导航复杂的解剖结构</w:t>
      </w:r>
      <w:bookmarkStart w:id="3" w:name="_Hlk142055311"/>
      <w:r>
        <w:rPr>
          <w:rFonts w:hint="default" w:ascii="Times New Roman" w:hAnsi="Times New Roman" w:eastAsia="宋体" w:cs="Times New Roman"/>
          <w:kern w:val="0"/>
          <w:sz w:val="24"/>
          <w:szCs w:val="24"/>
        </w:rPr>
        <w:t>以及器械和植入物</w:t>
      </w:r>
      <w:bookmarkEnd w:id="3"/>
      <w:r>
        <w:rPr>
          <w:rFonts w:hint="default" w:ascii="Times New Roman" w:hAnsi="Times New Roman" w:eastAsia="宋体" w:cs="Times New Roman"/>
          <w:kern w:val="0"/>
          <w:sz w:val="24"/>
          <w:szCs w:val="24"/>
        </w:rPr>
        <w:t>；二是通过机器人的稳定性和重复精度，抑制人体生理性震颤和减少术者手部运动来显著提高外科的精确性和灵活性。</w:t>
      </w:r>
    </w:p>
    <w:p>
      <w:pPr>
        <w:widowControl/>
        <w:spacing w:line="360" w:lineRule="auto"/>
        <w:ind w:firstLine="420" w:firstLineChars="0"/>
        <w:jc w:val="left"/>
        <w:rPr>
          <w:rFonts w:hint="default" w:ascii="Times New Roman" w:hAnsi="Times New Roman" w:eastAsia="宋体" w:cs="Times New Roman"/>
          <w:kern w:val="0"/>
          <w:sz w:val="24"/>
          <w:szCs w:val="24"/>
        </w:rPr>
      </w:pPr>
      <w:r>
        <w:rPr>
          <w:rFonts w:hint="default" w:ascii="Times New Roman" w:hAnsi="Times New Roman" w:eastAsia="宋体" w:cs="Times New Roman"/>
          <w:sz w:val="24"/>
          <w:szCs w:val="24"/>
        </w:rPr>
        <w:t>骨科手术导航定位系统</w:t>
      </w:r>
      <w:r>
        <w:rPr>
          <w:rFonts w:hint="default" w:ascii="Times New Roman" w:hAnsi="Times New Roman" w:eastAsia="宋体" w:cs="Times New Roman"/>
          <w:kern w:val="0"/>
          <w:sz w:val="24"/>
          <w:szCs w:val="24"/>
        </w:rPr>
        <w:t>手术需要对患者位姿的实时监测，从而确保</w:t>
      </w:r>
      <w:bookmarkStart w:id="4" w:name="_Hlk142055444"/>
      <w:r>
        <w:rPr>
          <w:rFonts w:hint="default" w:ascii="Times New Roman" w:hAnsi="Times New Roman" w:eastAsia="宋体" w:cs="Times New Roman"/>
          <w:kern w:val="0"/>
          <w:sz w:val="24"/>
          <w:szCs w:val="24"/>
        </w:rPr>
        <w:t>用于导航的</w:t>
      </w:r>
      <w:bookmarkEnd w:id="4"/>
      <w:r>
        <w:rPr>
          <w:rFonts w:hint="default" w:ascii="Times New Roman" w:hAnsi="Times New Roman" w:eastAsia="宋体" w:cs="Times New Roman"/>
          <w:kern w:val="0"/>
          <w:sz w:val="24"/>
          <w:szCs w:val="24"/>
        </w:rPr>
        <w:t>图像到患者坐标系的配准关系持续稳定。一种方式是Mazor使用的机械臂与患者进行刚体连接；另一种则是使用基于双目相机的光学跟踪系统，通过与患者刚性连接的光学示踪器完成对患者坐标系的持续检测。我们认为患者示踪器的方式灵活性高，对临床更加友好。</w:t>
      </w:r>
    </w:p>
    <w:p>
      <w:pPr>
        <w:widowControl/>
        <w:spacing w:line="360" w:lineRule="auto"/>
        <w:ind w:firstLine="420" w:firstLineChars="0"/>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配准被定义为用于从一个坐标系转换到另一个坐标系统的数学变换。</w:t>
      </w:r>
      <w:r>
        <w:rPr>
          <w:rFonts w:hint="default" w:ascii="Times New Roman" w:hAnsi="Times New Roman" w:eastAsia="宋体" w:cs="Times New Roman"/>
          <w:sz w:val="24"/>
          <w:szCs w:val="24"/>
        </w:rPr>
        <w:t>在患者坐标系已知的条件下，如何将图像坐标系与患者坐标系进行配准有多条技术路线。骨科手术导航定位系统</w:t>
      </w:r>
      <w:r>
        <w:rPr>
          <w:rFonts w:hint="default" w:ascii="Times New Roman" w:hAnsi="Times New Roman" w:eastAsia="宋体" w:cs="Times New Roman"/>
          <w:kern w:val="0"/>
          <w:sz w:val="24"/>
          <w:szCs w:val="24"/>
        </w:rPr>
        <w:t>大多选择了术中OArm 获取患者的三维术中CT影像，通过OArm同时获取的标记点完成术中CT影像与患者坐标系的配准。该算法简单可靠，精度也比较高。</w:t>
      </w:r>
    </w:p>
    <w:p>
      <w:pPr>
        <w:spacing w:before="120" w:after="120" w:line="360" w:lineRule="auto"/>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然而OArm具有下面几个不足之处，首先OArm导航被报道对于患者的辐射暴露剂量和时间相比经典CArm（无机器人辅助透视导引）手术要高出近80%[4]，相比基于CArm的骨科手术导航定位系统无疑会高出更多；其次因为使用术中CT影像作为手术规划图像，因而无法有效利用术者的术前规划；最后因为OArm图像获取时间受到设备采集的硬件限制，无法成为一种快速配准技术，而CArm透视影像与术前CT的融合技术，随着算法和计算机算力的提升，可以成为一种快速配准技术，可有效应对患者骨骼各分部的相对移动，快速完成分别配准。因而MS-002 我们选择了算法开发难度大，但是临床价值更大的CArm透视影像与术前CT的图像融合技术。</w:t>
      </w:r>
    </w:p>
    <w:p>
      <w:pPr>
        <w:widowControl/>
        <w:spacing w:line="240" w:lineRule="auto"/>
        <w:jc w:val="left"/>
        <w:rPr>
          <w:rFonts w:ascii="宋体" w:hAnsi="宋体" w:cs="宋体"/>
          <w:kern w:val="0"/>
          <w:sz w:val="24"/>
        </w:rPr>
      </w:pPr>
      <w:r>
        <w:rPr>
          <w:rFonts w:ascii="宋体" w:hAnsi="宋体" w:cs="宋体"/>
          <w:kern w:val="0"/>
          <w:sz w:val="24"/>
        </w:rPr>
        <w:drawing>
          <wp:inline distT="0" distB="0" distL="0" distR="0">
            <wp:extent cx="5274310" cy="2512060"/>
            <wp:effectExtent l="0" t="0" r="2540" b="2540"/>
            <wp:docPr id="15803822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82252"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512060"/>
                    </a:xfrm>
                    <a:prstGeom prst="rect">
                      <a:avLst/>
                    </a:prstGeom>
                    <a:noFill/>
                    <a:ln>
                      <a:noFill/>
                    </a:ln>
                  </pic:spPr>
                </pic:pic>
              </a:graphicData>
            </a:graphic>
          </wp:inline>
        </w:drawing>
      </w:r>
    </w:p>
    <w:p>
      <w:pPr>
        <w:pStyle w:val="12"/>
        <w:widowControl/>
        <w:spacing w:line="240" w:lineRule="auto"/>
        <w:jc w:val="center"/>
        <w:rPr>
          <w:rFonts w:hint="eastAsia" w:ascii="宋体" w:hAnsi="宋体" w:eastAsia="宋体" w:cs="宋体"/>
          <w:kern w:val="0"/>
          <w:sz w:val="24"/>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脊柱手术期间患者（A）和外科医生（B）身体的几个区域的辐射暴露量(单位μSv)，显示了传统（C臂）和导航（O臂）技术之间的差异</w:t>
      </w:r>
    </w:p>
    <w:p>
      <w:pPr>
        <w:pStyle w:val="4"/>
      </w:pPr>
      <w:bookmarkStart w:id="5" w:name="_Toc14610"/>
      <w:r>
        <w:rPr>
          <w:rFonts w:hint="eastAsia"/>
        </w:rPr>
        <w:t>天智航-天玑</w:t>
      </w:r>
      <w:bookmarkEnd w:id="5"/>
    </w:p>
    <w:p>
      <w:pPr>
        <w:spacing w:line="360" w:lineRule="auto"/>
        <w:ind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北京天智航医疗科技股份有限公司于 2021 年 2 月 18 日收到了由国家药品监督管理局颁发的骨科手术导航系统医疗器械注册证。</w:t>
      </w:r>
    </w:p>
    <w:p>
      <w:pPr>
        <w:spacing w:line="360" w:lineRule="auto"/>
        <w:ind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该产品预期可在脊柱外科和创伤骨科（仅 TiRobot ForcePro Superior 适用）开放或经皮手术中，用于手术器械或植入物定位。产品兼容2D与3D模式，独有入钉点及钉道计算智能算法，机械臂精准运动到规划位置，借助骨科引导器，为医生提供精准稳定的导针置入路径。按照术中规划，医生可以精准设计并置入内植入物。</w:t>
      </w:r>
    </w:p>
    <w:p>
      <w:pPr>
        <w:jc w:val="center"/>
        <w:rPr>
          <w:sz w:val="24"/>
        </w:rPr>
      </w:pPr>
      <w:r>
        <w:rPr>
          <w:sz w:val="24"/>
        </w:rPr>
        <w:drawing>
          <wp:inline distT="0" distB="0" distL="114300" distR="114300">
            <wp:extent cx="2945765" cy="2702560"/>
            <wp:effectExtent l="0" t="0" r="6985" b="254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13"/>
                    <a:stretch>
                      <a:fillRect/>
                    </a:stretch>
                  </pic:blipFill>
                  <pic:spPr>
                    <a:xfrm>
                      <a:off x="0" y="0"/>
                      <a:ext cx="2945765" cy="2702560"/>
                    </a:xfrm>
                    <a:prstGeom prst="rect">
                      <a:avLst/>
                    </a:prstGeom>
                    <a:noFill/>
                    <a:ln w="9525">
                      <a:noFill/>
                    </a:ln>
                  </pic:spPr>
                </pic:pic>
              </a:graphicData>
            </a:graphic>
          </wp:inline>
        </w:drawing>
      </w:r>
    </w:p>
    <w:p>
      <w:pPr>
        <w:pStyle w:val="12"/>
        <w:jc w:val="center"/>
        <w:rPr>
          <w:rFonts w:hint="eastAsia" w:eastAsia="宋体"/>
          <w:sz w:val="24"/>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天智航天玑2.0</w:t>
      </w:r>
    </w:p>
    <w:p>
      <w:pPr>
        <w:spacing w:before="120" w:after="120"/>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天玑使用患者示踪器通过光学相机实时监测患者坐标系，通过标记物可完成术中二维CArm 透视图像与患者坐标系的自动配准；也可通过标记物完成术中三维OArm 透视图像与患者坐标系的自动配准；在配准图像的导引下，机械臂通过定位导引手术器械。</w:t>
      </w:r>
    </w:p>
    <w:p>
      <w:pPr>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对于手术器械，天玑具备实时位姿可视化能力。</w:t>
      </w:r>
    </w:p>
    <w:p>
      <w:pPr>
        <w:pStyle w:val="4"/>
        <w:rPr>
          <w:rFonts w:ascii="Times New Roman" w:hAnsi="Times New Roman" w:cs="Times New Roman"/>
          <w:bCs/>
        </w:rPr>
      </w:pPr>
      <w:bookmarkStart w:id="6" w:name="_Toc3457"/>
      <w:r>
        <w:rPr>
          <w:rFonts w:hint="eastAsia" w:cs="Times New Roman"/>
          <w:bCs/>
        </w:rPr>
        <w:t>美敦力-Mazor X Stealth</w:t>
      </w:r>
      <w:r>
        <w:rPr>
          <w:rFonts w:hint="eastAsia"/>
        </w:rPr>
        <w:t>.</w:t>
      </w:r>
      <w:bookmarkEnd w:id="6"/>
    </w:p>
    <w:p>
      <w:pPr>
        <w:ind w:firstLine="480" w:firstLineChars="200"/>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sz w:val="24"/>
          <w:szCs w:val="24"/>
        </w:rPr>
        <w:t>Mazor X Stealth.机器人系统将美敦力的Stealth软件与Mazor现有的机器人技术相结合。通过交互式三维规划和信息系统提供实时图像引导，可视化和导航，提供工作流程可预测性和灵活性。它使用3D摄像头，引导标记和机械臂，以持续监视工具和仪器相对于脊柱的位置，并按计划精确定位它们。</w:t>
      </w:r>
      <w:r>
        <w:rPr>
          <w:rFonts w:hint="default" w:ascii="Times New Roman" w:hAnsi="Times New Roman" w:eastAsia="宋体" w:cs="Times New Roman"/>
          <w:color w:val="333333"/>
          <w:sz w:val="24"/>
          <w:szCs w:val="24"/>
          <w:shd w:val="clear" w:color="auto" w:fill="FFFFFF"/>
        </w:rPr>
        <w:t>机器人能提供规划，工作流程，程序执行和确认功能，以便在脊柱外科手术中准确放置器械和工具。</w:t>
      </w:r>
    </w:p>
    <w:p>
      <w:pPr>
        <w:spacing w:before="120" w:after="120"/>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Mazor X Stealth 通过将机械臂与患者的刚性连接来保持与患者坐标系的一致；通过标记物可完成术中二维CArm 透视图像以及术前CT影像与患者坐标系的自动配准；也可通过标记物完成术中三维OArm 透视图像与患者坐标系的自动配准；在配准图像的导引下，机械臂通过定位导引手术器械。</w:t>
      </w:r>
    </w:p>
    <w:p>
      <w:pPr>
        <w:spacing w:before="156" w:after="156"/>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对于手术器械，天玑具备实时位姿可视化能力，且与其专有耗材配套可实现无克氏和或导丝针的螺钉植入。</w:t>
      </w:r>
    </w:p>
    <w:p>
      <w:pPr>
        <w:ind w:firstLine="480" w:firstLineChars="200"/>
        <w:rPr>
          <w:rFonts w:hint="eastAsia" w:ascii="宋体" w:hAnsi="宋体" w:cs="宋体"/>
          <w:color w:val="333333"/>
          <w:sz w:val="24"/>
          <w:shd w:val="clear" w:color="auto" w:fill="FFFFFF"/>
        </w:rPr>
      </w:pPr>
    </w:p>
    <w:p>
      <w:pPr>
        <w:ind w:firstLine="480" w:firstLineChars="200"/>
        <w:jc w:val="center"/>
        <w:rPr>
          <w:sz w:val="24"/>
        </w:rPr>
      </w:pPr>
      <w:r>
        <w:rPr>
          <w:sz w:val="24"/>
        </w:rPr>
        <w:drawing>
          <wp:inline distT="0" distB="0" distL="114300" distR="114300">
            <wp:extent cx="4305300" cy="32766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4305300" cy="3276600"/>
                    </a:xfrm>
                    <a:prstGeom prst="rect">
                      <a:avLst/>
                    </a:prstGeom>
                    <a:noFill/>
                    <a:ln>
                      <a:noFill/>
                    </a:ln>
                  </pic:spPr>
                </pic:pic>
              </a:graphicData>
            </a:graphic>
          </wp:inline>
        </w:drawing>
      </w:r>
    </w:p>
    <w:p>
      <w:pPr>
        <w:pStyle w:val="12"/>
        <w:ind w:firstLine="400" w:firstLineChars="200"/>
        <w:jc w:val="center"/>
        <w:rPr>
          <w:rFonts w:hint="eastAsia" w:eastAsia="宋体"/>
          <w:sz w:val="24"/>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Mazor X stealth.</w:t>
      </w:r>
    </w:p>
    <w:p>
      <w:pPr>
        <w:pStyle w:val="4"/>
        <w:rPr>
          <w:rFonts w:ascii="Times New Roman" w:hAnsi="Times New Roman" w:cs="Times New Roman"/>
          <w:bCs/>
        </w:rPr>
      </w:pPr>
      <w:bookmarkStart w:id="7" w:name="_Toc7219"/>
      <w:r>
        <w:rPr>
          <w:rFonts w:hint="eastAsia" w:cs="Times New Roman"/>
          <w:bCs/>
        </w:rPr>
        <w:t>Medtech-Rosa One</w:t>
      </w:r>
      <w:bookmarkEnd w:id="7"/>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ROSA One是目前国内唯一一款获批上市、并可同时应用于脑外科与脊柱外科手术导航机器人。由机器臂基座、摄像机基座、脚踏开关、导航工具及配件组成，用于在脑外科和脊柱外科手术中实现手术器械的定位。</w:t>
      </w:r>
    </w:p>
    <w:p>
      <w:pPr>
        <w:spacing w:line="360" w:lineRule="auto"/>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ROSA One的设计理念并非取代医生，而是作为医生的补充，创新的技术核心是采用了六度自由机械臂传感技术及精细的触觉反馈技术、复杂器械操作的软件程控技术、可视化导航功能、患者体位动态追踪技术。</w:t>
      </w:r>
    </w:p>
    <w:p>
      <w:pPr>
        <w:spacing w:before="120" w:after="120" w:line="360" w:lineRule="auto"/>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ROSA One使用患者示踪器通过光学相机实时监测患者坐标系，通过标记物完成术中三维OArm 透视图像与患者坐标系的自动配准；在配准图像的导引下，机械臂通过定位导引手术器械。</w:t>
      </w:r>
    </w:p>
    <w:p>
      <w:pPr>
        <w:spacing w:before="156" w:after="156" w:line="360" w:lineRule="auto"/>
        <w:ind w:firstLine="42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对于手术器械，ROSA One具备实时位姿可视化能力。</w:t>
      </w:r>
    </w:p>
    <w:p>
      <w:pPr>
        <w:ind w:firstLine="480" w:firstLineChars="200"/>
        <w:rPr>
          <w:rFonts w:hint="eastAsia"/>
          <w:sz w:val="24"/>
        </w:rPr>
      </w:pPr>
    </w:p>
    <w:p>
      <w:pPr>
        <w:ind w:firstLine="480" w:firstLineChars="200"/>
        <w:jc w:val="center"/>
        <w:rPr>
          <w:sz w:val="24"/>
        </w:rPr>
      </w:pPr>
      <w:r>
        <w:rPr>
          <w:sz w:val="24"/>
        </w:rPr>
        <w:drawing>
          <wp:inline distT="0" distB="0" distL="114300" distR="114300">
            <wp:extent cx="3403600" cy="2378075"/>
            <wp:effectExtent l="0" t="0" r="6350" b="317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5"/>
                    <a:stretch>
                      <a:fillRect/>
                    </a:stretch>
                  </pic:blipFill>
                  <pic:spPr>
                    <a:xfrm>
                      <a:off x="0" y="0"/>
                      <a:ext cx="3403600" cy="2378075"/>
                    </a:xfrm>
                    <a:prstGeom prst="rect">
                      <a:avLst/>
                    </a:prstGeom>
                    <a:noFill/>
                    <a:ln w="9525">
                      <a:noFill/>
                    </a:ln>
                  </pic:spPr>
                </pic:pic>
              </a:graphicData>
            </a:graphic>
          </wp:inline>
        </w:drawing>
      </w:r>
    </w:p>
    <w:p>
      <w:pPr>
        <w:pStyle w:val="12"/>
        <w:ind w:firstLine="400" w:firstLineChars="200"/>
        <w:jc w:val="center"/>
        <w:rPr>
          <w:rFonts w:hint="eastAsia" w:eastAsia="宋体"/>
          <w:sz w:val="24"/>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ROSA One</w:t>
      </w:r>
    </w:p>
    <w:p>
      <w:pPr>
        <w:pStyle w:val="4"/>
      </w:pPr>
      <w:bookmarkStart w:id="8" w:name="_Toc14098"/>
      <w:r>
        <w:rPr>
          <w:rFonts w:hint="eastAsia"/>
        </w:rPr>
        <w:t>鑫君特-Orthbot</w:t>
      </w:r>
      <w:bookmarkEnd w:id="8"/>
    </w:p>
    <w:p>
      <w:pPr>
        <w:spacing w:before="76" w:beforeLines="20" w:after="76" w:afterLines="20"/>
        <w:ind w:firstLine="480" w:firstLineChars="200"/>
        <w:rPr>
          <w:sz w:val="24"/>
        </w:rPr>
      </w:pPr>
      <w:r>
        <w:rPr>
          <w:rFonts w:hint="eastAsia"/>
          <w:sz w:val="24"/>
        </w:rPr>
        <w:t>国内外市场中，关于手术机器人与手术导航系统已经日渐成熟。例如国外的美敦力脊柱导航、国内的天智航骨科机器人、三坛医疗的“智微天眼”均能做到手术中的智能导航。这类智能导航的辅助可以有效减少创伤面积、减轻患者痛苦、缩短手术时间。但关键的置针、钻孔等工作还是由医生手持骨钻进行操作。</w:t>
      </w:r>
    </w:p>
    <w:p>
      <w:pPr>
        <w:ind w:firstLine="480" w:firstLineChars="200"/>
        <w:rPr>
          <w:sz w:val="24"/>
        </w:rPr>
      </w:pPr>
      <w:r>
        <w:rPr>
          <w:rFonts w:hint="eastAsia"/>
          <w:sz w:val="24"/>
        </w:rPr>
        <w:t>据了解，国内市场中仅有深圳市鑫君特智能医疗器械有限公司（以下简称鑫君特）研发出了可以自动置针的骨科手术机器人。此产品将手术机器人的术前规划、术中导航系统与置针的骨钻结合，能够实现按照规划，自动置入导针，医生再按照导针，非常轻松地准确置入螺钉。</w:t>
      </w:r>
    </w:p>
    <w:p>
      <w:pPr>
        <w:spacing w:before="76" w:beforeLines="20" w:after="76" w:afterLines="20"/>
        <w:ind w:firstLine="480" w:firstLineChars="200"/>
        <w:jc w:val="center"/>
        <w:rPr>
          <w:rFonts w:ascii="宋体" w:hAnsi="宋体" w:cs="宋体"/>
          <w:sz w:val="24"/>
        </w:rPr>
      </w:pPr>
      <w:r>
        <w:rPr>
          <w:rFonts w:ascii="宋体" w:hAnsi="宋体" w:cs="宋体"/>
          <w:sz w:val="24"/>
        </w:rPr>
        <w:drawing>
          <wp:inline distT="0" distB="0" distL="114300" distR="114300">
            <wp:extent cx="3171190" cy="2914015"/>
            <wp:effectExtent l="0" t="0" r="10160" b="635"/>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16"/>
                    <a:stretch>
                      <a:fillRect/>
                    </a:stretch>
                  </pic:blipFill>
                  <pic:spPr>
                    <a:xfrm>
                      <a:off x="0" y="0"/>
                      <a:ext cx="3171190" cy="2914015"/>
                    </a:xfrm>
                    <a:prstGeom prst="rect">
                      <a:avLst/>
                    </a:prstGeom>
                    <a:noFill/>
                    <a:ln w="9525">
                      <a:noFill/>
                    </a:ln>
                  </pic:spPr>
                </pic:pic>
              </a:graphicData>
            </a:graphic>
          </wp:inline>
        </w:drawing>
      </w:r>
    </w:p>
    <w:p>
      <w:pPr>
        <w:pStyle w:val="12"/>
        <w:spacing w:before="76" w:beforeLines="20" w:after="76" w:afterLines="20"/>
        <w:ind w:firstLine="400" w:firstLineChars="200"/>
        <w:jc w:val="center"/>
        <w:rPr>
          <w:rFonts w:hint="eastAsia" w:ascii="宋体" w:hAnsi="宋体" w:eastAsia="宋体" w:cs="宋体"/>
          <w:sz w:val="24"/>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鑫君特手术机器人</w:t>
      </w:r>
    </w:p>
    <w:p>
      <w:pPr>
        <w:spacing w:before="76" w:beforeLines="20" w:after="76" w:afterLines="20"/>
        <w:ind w:firstLine="480" w:firstLineChars="200"/>
        <w:jc w:val="center"/>
        <w:rPr>
          <w:sz w:val="24"/>
        </w:rPr>
      </w:pPr>
      <w:r>
        <w:rPr>
          <w:sz w:val="24"/>
        </w:rPr>
        <w:drawing>
          <wp:inline distT="0" distB="0" distL="114300" distR="114300">
            <wp:extent cx="4279900" cy="3211830"/>
            <wp:effectExtent l="0" t="0" r="6350"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7"/>
                    <a:stretch>
                      <a:fillRect/>
                    </a:stretch>
                  </pic:blipFill>
                  <pic:spPr>
                    <a:xfrm>
                      <a:off x="0" y="0"/>
                      <a:ext cx="4279900" cy="3211830"/>
                    </a:xfrm>
                    <a:prstGeom prst="rect">
                      <a:avLst/>
                    </a:prstGeom>
                    <a:noFill/>
                    <a:ln>
                      <a:noFill/>
                    </a:ln>
                  </pic:spPr>
                </pic:pic>
              </a:graphicData>
            </a:graphic>
          </wp:inline>
        </w:drawing>
      </w:r>
    </w:p>
    <w:p>
      <w:pPr>
        <w:pStyle w:val="12"/>
        <w:spacing w:before="76" w:beforeLines="20" w:after="76" w:afterLines="20"/>
        <w:ind w:firstLine="400" w:firstLineChars="200"/>
        <w:jc w:val="center"/>
        <w:rPr>
          <w:rFonts w:hint="eastAsia" w:eastAsia="宋体"/>
          <w:sz w:val="24"/>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鑫君特手术机器人术中画面</w:t>
      </w:r>
    </w:p>
    <w:p>
      <w:pPr>
        <w:spacing w:before="76" w:beforeLines="20" w:after="76" w:afterLines="20"/>
        <w:ind w:firstLine="480" w:firstLineChars="200"/>
        <w:jc w:val="center"/>
        <w:rPr>
          <w:sz w:val="24"/>
        </w:rPr>
      </w:pPr>
      <w:r>
        <w:rPr>
          <w:sz w:val="24"/>
        </w:rPr>
        <w:drawing>
          <wp:inline distT="0" distB="0" distL="114300" distR="114300">
            <wp:extent cx="4271645" cy="3213100"/>
            <wp:effectExtent l="0" t="0" r="1460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4271645" cy="3213100"/>
                    </a:xfrm>
                    <a:prstGeom prst="rect">
                      <a:avLst/>
                    </a:prstGeom>
                    <a:noFill/>
                    <a:ln>
                      <a:noFill/>
                    </a:ln>
                  </pic:spPr>
                </pic:pic>
              </a:graphicData>
            </a:graphic>
          </wp:inline>
        </w:drawing>
      </w:r>
    </w:p>
    <w:p>
      <w:pPr>
        <w:pStyle w:val="12"/>
        <w:spacing w:before="76" w:beforeLines="20" w:after="76" w:afterLines="20"/>
        <w:ind w:firstLine="400" w:firstLineChars="200"/>
        <w:jc w:val="center"/>
        <w:rPr>
          <w:rFonts w:hint="eastAsia" w:eastAsia="宋体"/>
          <w:sz w:val="24"/>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鑫君特手术机器人术中画面</w:t>
      </w:r>
    </w:p>
    <w:p>
      <w:pPr>
        <w:pStyle w:val="4"/>
      </w:pPr>
      <w:bookmarkStart w:id="9" w:name="_Toc4290"/>
      <w:r>
        <w:rPr>
          <w:rFonts w:hint="eastAsia"/>
        </w:rPr>
        <w:t>参考文献</w:t>
      </w:r>
      <w:bookmarkEnd w:id="9"/>
    </w:p>
    <w:p>
      <w:pPr>
        <w:spacing w:before="120" w:after="120"/>
        <w:rPr>
          <w:shd w:val="clear" w:color="auto" w:fill="FFFFFF"/>
        </w:rPr>
      </w:pPr>
      <w:r>
        <w:rPr>
          <w:shd w:val="clear" w:color="auto" w:fill="FFFFFF"/>
        </w:rPr>
        <w:t>1</w:t>
      </w:r>
      <w:r>
        <w:rPr>
          <w:rFonts w:hint="eastAsia"/>
          <w:shd w:val="clear" w:color="auto" w:fill="FFFFFF"/>
        </w:rPr>
        <w:t>、</w:t>
      </w:r>
      <w:r>
        <w:rPr>
          <w:shd w:val="clear" w:color="auto" w:fill="FFFFFF"/>
        </w:rPr>
        <w:t>Chung AS, Ballatori A, Ortega B, Min E, Formanek B, Liu J, Hsieh P, Hah R, Wang JC, Buser Z. Is Less Really More? Economic Evaluation of Minimally Invasive Surgery. Global Spine J. 2021 Apr;11(1_suppl):30S-36S. doi: 10.1177/2192568220958403. Epub 2020 Sep 25. PMID: 32975446; PMCID: PMC8076812.</w:t>
      </w:r>
    </w:p>
    <w:p>
      <w:pPr>
        <w:spacing w:before="156" w:after="156"/>
      </w:pPr>
      <w:r>
        <w:t>2</w:t>
      </w:r>
      <w:r>
        <w:rPr>
          <w:rFonts w:hint="eastAsia"/>
        </w:rPr>
        <w:t>、</w:t>
      </w:r>
      <w:r>
        <w:t>Gebhard FT, Kraus MD, Schneider E, Liener UC, Kinzl L, Arand M. Does computer-assisted spine surgery reduce intraoperative radiation doses? Spine (Phila Pa 1976). 2006;31(17):2024-2027; discussion 2028.</w:t>
      </w:r>
    </w:p>
    <w:p>
      <w:pPr>
        <w:spacing w:before="156" w:after="156"/>
      </w:pPr>
      <w:r>
        <w:t>3</w:t>
      </w:r>
      <w:r>
        <w:rPr>
          <w:rFonts w:hint="eastAsia"/>
        </w:rPr>
        <w:t>、</w:t>
      </w:r>
      <w:r>
        <w:t>Ravi B, Zahrai A, Rampersaud R. Clinical accuracy of computer-assisted twodimensional fluoroscopy for the percutaneous placement of lumbosacral pedicle screws. Spine (Phila Pa 1976). 2011;36(1):84-91.</w:t>
      </w:r>
    </w:p>
    <w:p>
      <w:pPr>
        <w:spacing w:before="156" w:after="156"/>
      </w:pPr>
      <w:r>
        <w:rPr>
          <w:rFonts w:hint="eastAsia"/>
        </w:rPr>
        <w:t>4、</w:t>
      </w:r>
      <w:r>
        <w:rPr>
          <w:rFonts w:ascii="Segoe UI" w:hAnsi="Segoe UI" w:cs="Segoe UI"/>
          <w:color w:val="212121"/>
          <w:shd w:val="clear" w:color="auto" w:fill="FFFFFF"/>
        </w:rPr>
        <w:t>Bratschitsch G, Leitner L, Stücklschweiger G, Guss H, Sadoghi P, Puchwein P, Leithner A, Radl R. Radiation Exposure of Patient and Operating Room Personnel by Fluoroscopy and Navigation during Spinal Surgery. Sci Rep. 2019 Nov 27;9(1):17652. doi: 10.1038/s41598-019-53472-z. PMID: 31776364; PMCID: PMC6881318.</w:t>
      </w:r>
    </w:p>
    <w:p>
      <w:pPr>
        <w:rPr>
          <w:rFonts w:hint="eastAsia"/>
        </w:rPr>
      </w:pPr>
    </w:p>
    <w:p>
      <w:pPr>
        <w:pStyle w:val="2"/>
        <w:rPr>
          <w:rFonts w:ascii="Arial" w:hAnsi="Arial"/>
          <w:kern w:val="2"/>
          <w:sz w:val="24"/>
        </w:rPr>
      </w:pPr>
      <w:bookmarkStart w:id="10" w:name="_Toc18231"/>
      <w:bookmarkStart w:id="11" w:name="_Toc30885"/>
      <w:bookmarkStart w:id="12" w:name="_Toc10154"/>
      <w:r>
        <w:rPr>
          <w:rFonts w:hint="eastAsia"/>
          <w:kern w:val="2"/>
          <w:sz w:val="24"/>
        </w:rPr>
        <w:t>市场接受度评估</w:t>
      </w:r>
      <w:bookmarkEnd w:id="10"/>
    </w:p>
    <w:p>
      <w:pPr>
        <w:pStyle w:val="4"/>
      </w:pPr>
      <w:bookmarkStart w:id="13" w:name="_Toc20981"/>
      <w:r>
        <w:rPr>
          <w:rFonts w:hint="eastAsia"/>
        </w:rPr>
        <w:t>市场前景</w:t>
      </w:r>
      <w:bookmarkEnd w:id="13"/>
    </w:p>
    <w:p>
      <w:pPr>
        <w:ind w:firstLine="480" w:firstLineChars="200"/>
        <w:rPr>
          <w:rFonts w:hint="default" w:ascii="Times New Roman" w:hAnsi="Times New Roman" w:cs="Times New Roman"/>
          <w:sz w:val="24"/>
        </w:rPr>
      </w:pPr>
      <w:r>
        <w:rPr>
          <w:rFonts w:hint="default" w:ascii="Times New Roman" w:hAnsi="Times New Roman" w:cs="Times New Roman"/>
          <w:sz w:val="24"/>
        </w:rPr>
        <w:t>骨科机器人是手术机器人中发展较为成熟的一个分支领域，据Medgadget公布的数据称，2020年骨科手术机器人约为3亿美元，到2027年，全球骨科手术机器人市场将达到35亿美元。</w:t>
      </w:r>
    </w:p>
    <w:p>
      <w:pPr>
        <w:ind w:firstLine="480" w:firstLineChars="200"/>
        <w:rPr>
          <w:rFonts w:hint="default" w:ascii="Times New Roman" w:hAnsi="Times New Roman" w:cs="Times New Roman"/>
          <w:sz w:val="24"/>
        </w:rPr>
      </w:pPr>
      <w:r>
        <w:rPr>
          <w:rFonts w:hint="default" w:ascii="Times New Roman" w:hAnsi="Times New Roman" w:cs="Times New Roman"/>
          <w:sz w:val="24"/>
        </w:rPr>
        <w:t>骨科机器人的主要应用领域有：创伤骨科、脊柱外科和关节外科。就应用场景而言，脊柱外科、关节外科领域手术机器人发展较为成熟，然而骨折复位机器人的研发难度较大、研发进展相对缓慢，全球范围内还没有进入临床应用的产品。目前骨科机器人主要应用于脊柱外科和关节外科领域，从这两者的市场规模来看，行业呈高速增长态势。</w:t>
      </w:r>
    </w:p>
    <w:p>
      <w:pPr>
        <w:ind w:firstLine="480" w:firstLineChars="200"/>
        <w:rPr>
          <w:rFonts w:hint="default" w:ascii="Times New Roman" w:hAnsi="Times New Roman" w:cs="Times New Roman"/>
          <w:sz w:val="24"/>
        </w:rPr>
      </w:pPr>
      <w:r>
        <w:rPr>
          <w:rFonts w:hint="default" w:ascii="Times New Roman" w:hAnsi="Times New Roman" w:cs="Times New Roman"/>
          <w:sz w:val="24"/>
        </w:rPr>
        <w:t>《骨科机器人行业发展“十三五”规划纲要》明确要求到2020年骨科机器人行业将增加30%；《医疗装备产业发展规划（2021-2025年）》征求意见稿则将手术机器人列为重点发展领域；2021年8月，北京医保局宣布10月23日起，机器人辅助骨科手术进入北京甲类医保支付目录（可100%报销），一次性机器人专用器械获得北京乙类医保支付（可部分报销）。政策鼓励着社会向机器人方向进行深度探索。</w:t>
      </w:r>
    </w:p>
    <w:p>
      <w:pPr>
        <w:ind w:firstLine="480" w:firstLineChars="200"/>
        <w:rPr>
          <w:rFonts w:hint="default" w:ascii="Times New Roman" w:hAnsi="Times New Roman" w:cs="Times New Roman"/>
          <w:sz w:val="24"/>
        </w:rPr>
      </w:pPr>
      <w:r>
        <w:rPr>
          <w:rFonts w:hint="default" w:ascii="Times New Roman" w:hAnsi="Times New Roman" w:cs="Times New Roman"/>
          <w:sz w:val="24"/>
        </w:rPr>
        <w:t>2022年3月医保局发出《关于完善骨科“手术机器人”“3D打印”等辅助操作价格及相关政策的指南（征求意见稿）》，则进一步为行业建立了规范和标杆。可以肯定的是，骨科机器人正在从野蛮生长到规范化和市场化过渡。</w:t>
      </w:r>
    </w:p>
    <w:p>
      <w:pPr>
        <w:pStyle w:val="4"/>
        <w:rPr>
          <w:rFonts w:hint="default" w:ascii="Times New Roman" w:hAnsi="Times New Roman" w:cs="Times New Roman"/>
        </w:rPr>
      </w:pPr>
      <w:bookmarkStart w:id="14" w:name="_Toc32086"/>
      <w:r>
        <w:rPr>
          <w:rFonts w:hint="default" w:ascii="Times New Roman" w:hAnsi="Times New Roman" w:cs="Times New Roman"/>
        </w:rPr>
        <w:t>医生意见</w:t>
      </w:r>
      <w:bookmarkEnd w:id="14"/>
    </w:p>
    <w:p>
      <w:pPr>
        <w:numPr>
          <w:ilvl w:val="0"/>
          <w:numId w:val="3"/>
        </w:numPr>
        <w:spacing w:before="156" w:after="156"/>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无法利用患者的术前CT数据进行规划，在术中CT中进行规划，术者感受时间压力较大；术中CT与术前CT相比，其成像质量较低，尤其是其拍摄范围远低于术前CT，对术者有较高的影像学经验要求；</w:t>
      </w:r>
    </w:p>
    <w:p>
      <w:pPr>
        <w:numPr>
          <w:ilvl w:val="0"/>
          <w:numId w:val="3"/>
        </w:numPr>
        <w:spacing w:before="156" w:after="156"/>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术中CArm影像因为患者体态无法与术前CT体态完全保持一致，因而术区骨骼具有多个分部的，无法成功进行自动图像融合；</w:t>
      </w:r>
    </w:p>
    <w:p>
      <w:pPr>
        <w:numPr>
          <w:ilvl w:val="0"/>
          <w:numId w:val="3"/>
        </w:numPr>
        <w:spacing w:before="156" w:after="156"/>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手术器械进入患者体内后，无法了解其实时位姿变化，尤其是缺乏其深度信息；如果能够实时可视化患者体内器械的位姿，将会大幅提高手术安全性；</w:t>
      </w:r>
    </w:p>
    <w:p>
      <w:pPr>
        <w:numPr>
          <w:ilvl w:val="0"/>
          <w:numId w:val="3"/>
        </w:numPr>
        <w:spacing w:before="156" w:after="156"/>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手术中需要能够监测患者移动，能够患者呼吸造成的骨骼变化给与实时的图像以及机械臂位姿的实时补偿；减少因为患者体位变化对手术精度造成的影响；</w:t>
      </w:r>
    </w:p>
    <w:p>
      <w:pPr>
        <w:numPr>
          <w:ilvl w:val="0"/>
          <w:numId w:val="3"/>
        </w:numPr>
        <w:spacing w:before="156" w:after="156"/>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目前的机器人辅助术式种类较少，希望能适配更多的骨科术式；</w:t>
      </w:r>
    </w:p>
    <w:p>
      <w:pPr>
        <w:numPr>
          <w:ilvl w:val="0"/>
          <w:numId w:val="3"/>
        </w:numPr>
        <w:spacing w:before="156" w:after="156"/>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机器人导航学习曲线较长，需要大量时间掌握和精通；</w:t>
      </w:r>
    </w:p>
    <w:p>
      <w:pPr>
        <w:numPr>
          <w:ilvl w:val="0"/>
          <w:numId w:val="3"/>
        </w:numPr>
        <w:spacing w:before="156" w:after="156"/>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器械可能发生侧滑，或者在进入骨骼时工具尖端发生偏转。当工具以陡峭的角度与骨骼发生接触时，陡峭的角度在工具和骨骼之间会施加横向接触力，从而导致工具和或骨骼在横向发生位移或变形。</w:t>
      </w:r>
    </w:p>
    <w:p>
      <w:pPr>
        <w:pStyle w:val="4"/>
        <w:rPr>
          <w:rFonts w:hint="default" w:ascii="Times New Roman" w:hAnsi="Times New Roman" w:cs="Times New Roman"/>
        </w:rPr>
      </w:pPr>
      <w:bookmarkStart w:id="15" w:name="_Toc22166"/>
      <w:r>
        <w:rPr>
          <w:rFonts w:hint="default" w:ascii="Times New Roman" w:hAnsi="Times New Roman" w:cs="Times New Roman"/>
        </w:rPr>
        <w:t>市场部意见</w:t>
      </w:r>
      <w:bookmarkEnd w:id="15"/>
    </w:p>
    <w:p>
      <w:pPr>
        <w:spacing w:line="360" w:lineRule="auto"/>
        <w:ind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市场部多数认为：</w:t>
      </w:r>
    </w:p>
    <w:p>
      <w:pPr>
        <w:numPr>
          <w:ilvl w:val="0"/>
          <w:numId w:val="4"/>
        </w:num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t>MS-002具有可视化追踪功能以及较广的适应症，可以更有效地迎合市场，增加产品的市场竞争力；</w:t>
      </w:r>
    </w:p>
    <w:p>
      <w:pPr>
        <w:numPr>
          <w:ilvl w:val="0"/>
          <w:numId w:val="4"/>
        </w:num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t>MS-002可以在产品易用性上做升级，提升医生术中操作的便捷性。</w:t>
      </w:r>
    </w:p>
    <w:p>
      <w:pPr>
        <w:pStyle w:val="4"/>
        <w:spacing w:line="360" w:lineRule="auto"/>
        <w:rPr>
          <w:rFonts w:hint="default" w:ascii="Times New Roman" w:hAnsi="Times New Roman" w:eastAsia="宋体" w:cs="Times New Roman"/>
        </w:rPr>
      </w:pPr>
      <w:bookmarkStart w:id="16" w:name="_Toc15902"/>
      <w:r>
        <w:rPr>
          <w:rFonts w:hint="default" w:ascii="Times New Roman" w:hAnsi="Times New Roman" w:eastAsia="宋体" w:cs="Times New Roman"/>
        </w:rPr>
        <w:t>市场分析小结</w:t>
      </w:r>
      <w:bookmarkEnd w:id="11"/>
      <w:bookmarkEnd w:id="12"/>
      <w:bookmarkEnd w:id="16"/>
    </w:p>
    <w:p>
      <w:pPr>
        <w:spacing w:line="360" w:lineRule="auto"/>
        <w:ind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MS-002以其预设的功能及适应症等，具备市场竞争力，对我司产品线的丰富、市场的推广有积极意义。所以该产品的开发从市场角度是可行的。</w:t>
      </w:r>
    </w:p>
    <w:p>
      <w:pPr>
        <w:spacing w:line="360" w:lineRule="auto"/>
        <w:ind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除了产品本身之外，也要着力打造以机器人为核心的完整手术解决方案。机器人在对医疗器械领域的推动不仅仅局限于该器械本身带来的价值，更是一次对医疗器械行业发展的改革与整合，推动行业从零散的单点发展调整为一个基于科室或术式的整体式发展。这对医疗器械领域内的所有公司而言是机遇也是挑战。</w:t>
      </w:r>
    </w:p>
    <w:sectPr>
      <w:footerReference r:id="rId8" w:type="default"/>
      <w:pgSz w:w="11906" w:h="16838"/>
      <w:pgMar w:top="1417" w:right="1800" w:bottom="850" w:left="1800" w:header="851" w:footer="283" w:gutter="0"/>
      <w:pgNumType w:fmt="decimal" w:start="1"/>
      <w:cols w:space="0" w:num="1"/>
      <w:docGrid w:type="lines" w:linePitch="38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3013"/>
        <w:tab w:val="clear" w:pos="4153"/>
      </w:tabs>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3013"/>
        <w:tab w:val="clear" w:pos="4153"/>
      </w:tabs>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5"/>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3013"/>
        <w:tab w:val="clear" w:pos="4153"/>
      </w:tabs>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15"/>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before="120" w:after="120"/>
      <w:jc w:val="center"/>
      <w:rPr>
        <w:rFonts w:ascii="宋体" w:hAnsi="宋体" w:cs="宋体"/>
        <w:sz w:val="15"/>
        <w:szCs w:val="21"/>
      </w:rPr>
    </w:pPr>
    <w:r>
      <w:rPr>
        <w:rFonts w:hint="eastAsia" w:ascii="宋体" w:hAnsi="宋体" w:cs="宋体"/>
        <w:sz w:val="20"/>
        <w:szCs w:val="18"/>
      </w:rPr>
      <w:t>MS-002</w:t>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ab/>
    </w:r>
    <w:r>
      <w:rPr>
        <w:rFonts w:hint="eastAsia" w:ascii="宋体" w:hAnsi="宋体" w:cs="宋体"/>
        <w:sz w:val="20"/>
        <w:szCs w:val="18"/>
      </w:rPr>
      <w:t>杭州三坛医疗科技有限公司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A4CD06"/>
    <w:multiLevelType w:val="singleLevel"/>
    <w:tmpl w:val="D6A4CD06"/>
    <w:lvl w:ilvl="0" w:tentative="0">
      <w:start w:val="1"/>
      <w:numFmt w:val="decimal"/>
      <w:lvlText w:val="%1)"/>
      <w:lvlJc w:val="left"/>
      <w:pPr>
        <w:ind w:left="425" w:hanging="425"/>
      </w:pPr>
      <w:rPr>
        <w:rFonts w:hint="default"/>
      </w:rPr>
    </w:lvl>
  </w:abstractNum>
  <w:abstractNum w:abstractNumId="1">
    <w:nsid w:val="0FEF8AA3"/>
    <w:multiLevelType w:val="multilevel"/>
    <w:tmpl w:val="0FEF8AA3"/>
    <w:lvl w:ilvl="0" w:tentative="0">
      <w:start w:val="1"/>
      <w:numFmt w:val="chineseCounting"/>
      <w:pStyle w:val="2"/>
      <w:lvlText w:val="第%1章 "/>
      <w:lvlJc w:val="left"/>
      <w:pPr>
        <w:ind w:left="432" w:hanging="432"/>
      </w:pPr>
      <w:rPr>
        <w:rFonts w:hint="eastAsia" w:ascii="宋体" w:hAnsi="宋体" w:eastAsia="宋体" w:cs="宋体"/>
      </w:rPr>
    </w:lvl>
    <w:lvl w:ilvl="1" w:tentative="0">
      <w:start w:val="1"/>
      <w:numFmt w:val="decimal"/>
      <w:pStyle w:val="4"/>
      <w:isLgl/>
      <w:lvlText w:val="%1.%2."/>
      <w:lvlJc w:val="left"/>
      <w:pPr>
        <w:ind w:left="575" w:hanging="575"/>
      </w:pPr>
      <w:rPr>
        <w:rFonts w:hint="eastAsia" w:ascii="宋体" w:hAnsi="宋体" w:eastAsia="宋体" w:cs="宋体"/>
      </w:rPr>
    </w:lvl>
    <w:lvl w:ilvl="2" w:tentative="0">
      <w:start w:val="1"/>
      <w:numFmt w:val="decimal"/>
      <w:pStyle w:val="5"/>
      <w:isLgl/>
      <w:lvlText w:val="%1.%2.%3."/>
      <w:lvlJc w:val="left"/>
      <w:pPr>
        <w:ind w:left="720" w:hanging="720"/>
      </w:pPr>
      <w:rPr>
        <w:rFonts w:hint="eastAsia" w:ascii="宋体" w:hAnsi="宋体" w:eastAsia="宋体" w:cs="宋体"/>
      </w:rPr>
    </w:lvl>
    <w:lvl w:ilvl="3" w:tentative="0">
      <w:start w:val="1"/>
      <w:numFmt w:val="decimal"/>
      <w:pStyle w:val="6"/>
      <w:lvlText w:val="%1.%2.%3.%4."/>
      <w:lvlJc w:val="left"/>
      <w:pPr>
        <w:ind w:left="864" w:hanging="864"/>
      </w:pPr>
      <w:rPr>
        <w:rFonts w:hint="eastAsia"/>
      </w:rPr>
    </w:lvl>
    <w:lvl w:ilvl="4" w:tentative="0">
      <w:start w:val="1"/>
      <w:numFmt w:val="decimal"/>
      <w:pStyle w:val="7"/>
      <w:lvlText w:val="%1.%2.%3.%4.%5."/>
      <w:lvlJc w:val="left"/>
      <w:pPr>
        <w:ind w:left="1008" w:hanging="1008"/>
      </w:pPr>
      <w:rPr>
        <w:rFonts w:hint="eastAsia"/>
      </w:rPr>
    </w:lvl>
    <w:lvl w:ilvl="5" w:tentative="0">
      <w:start w:val="1"/>
      <w:numFmt w:val="decimal"/>
      <w:pStyle w:val="8"/>
      <w:lvlText w:val="%1.%2.%3.%4.%5.%6."/>
      <w:lvlJc w:val="left"/>
      <w:pPr>
        <w:ind w:left="1151" w:hanging="1151"/>
      </w:pPr>
      <w:rPr>
        <w:rFonts w:hint="eastAsia"/>
      </w:rPr>
    </w:lvl>
    <w:lvl w:ilvl="6" w:tentative="0">
      <w:start w:val="1"/>
      <w:numFmt w:val="decimal"/>
      <w:pStyle w:val="9"/>
      <w:lvlText w:val="%1.%2.%3.%4.%5.%6.%7."/>
      <w:lvlJc w:val="left"/>
      <w:pPr>
        <w:ind w:left="1296" w:hanging="1296"/>
      </w:pPr>
      <w:rPr>
        <w:rFonts w:hint="eastAsia"/>
      </w:rPr>
    </w:lvl>
    <w:lvl w:ilvl="7" w:tentative="0">
      <w:start w:val="1"/>
      <w:numFmt w:val="decimal"/>
      <w:pStyle w:val="10"/>
      <w:lvlText w:val="%1.%2.%3.%4.%5.%6.%7.%8."/>
      <w:lvlJc w:val="left"/>
      <w:pPr>
        <w:ind w:left="1440" w:hanging="1440"/>
      </w:pPr>
      <w:rPr>
        <w:rFonts w:hint="eastAsia"/>
      </w:rPr>
    </w:lvl>
    <w:lvl w:ilvl="8" w:tentative="0">
      <w:start w:val="1"/>
      <w:numFmt w:val="decimal"/>
      <w:pStyle w:val="11"/>
      <w:lvlText w:val="%1.%2.%3.%4.%5.%6.%7.%8.%9."/>
      <w:lvlJc w:val="left"/>
      <w:pPr>
        <w:ind w:left="1583" w:hanging="1583"/>
      </w:pPr>
      <w:rPr>
        <w:rFonts w:hint="eastAsia"/>
      </w:rPr>
    </w:lvl>
  </w:abstractNum>
  <w:abstractNum w:abstractNumId="2">
    <w:nsid w:val="4761E61F"/>
    <w:multiLevelType w:val="singleLevel"/>
    <w:tmpl w:val="4761E61F"/>
    <w:lvl w:ilvl="0" w:tentative="0">
      <w:start w:val="1"/>
      <w:numFmt w:val="chineseCounting"/>
      <w:suff w:val="space"/>
      <w:lvlText w:val="%1."/>
      <w:lvlJc w:val="left"/>
      <w:rPr>
        <w:rFonts w:hint="eastAsia"/>
      </w:rPr>
    </w:lvl>
  </w:abstractNum>
  <w:abstractNum w:abstractNumId="3">
    <w:nsid w:val="6F6033F9"/>
    <w:multiLevelType w:val="singleLevel"/>
    <w:tmpl w:val="6F6033F9"/>
    <w:lvl w:ilvl="0" w:tentative="0">
      <w:start w:val="1"/>
      <w:numFmt w:val="decimal"/>
      <w:lvlText w:val="%1)"/>
      <w:lvlJc w:val="left"/>
      <w:pPr>
        <w:ind w:left="425" w:hanging="425"/>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90"/>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78B236E4"/>
    <w:rsid w:val="00003B99"/>
    <w:rsid w:val="00116AC0"/>
    <w:rsid w:val="00256199"/>
    <w:rsid w:val="004642FD"/>
    <w:rsid w:val="00863B3C"/>
    <w:rsid w:val="00D008B0"/>
    <w:rsid w:val="00D122CF"/>
    <w:rsid w:val="016C54D3"/>
    <w:rsid w:val="017E2CDF"/>
    <w:rsid w:val="01FA13DA"/>
    <w:rsid w:val="024F0FE5"/>
    <w:rsid w:val="02644ACE"/>
    <w:rsid w:val="02B46023"/>
    <w:rsid w:val="034448B1"/>
    <w:rsid w:val="040C4DF6"/>
    <w:rsid w:val="04A62124"/>
    <w:rsid w:val="04C34FD7"/>
    <w:rsid w:val="055B7815"/>
    <w:rsid w:val="05A21435"/>
    <w:rsid w:val="05C443A6"/>
    <w:rsid w:val="05CF7581"/>
    <w:rsid w:val="06AA7820"/>
    <w:rsid w:val="07277DC1"/>
    <w:rsid w:val="07692460"/>
    <w:rsid w:val="07C1352D"/>
    <w:rsid w:val="07F618A1"/>
    <w:rsid w:val="080A4381"/>
    <w:rsid w:val="081345FF"/>
    <w:rsid w:val="08384184"/>
    <w:rsid w:val="084E00A2"/>
    <w:rsid w:val="084F4760"/>
    <w:rsid w:val="086F62AC"/>
    <w:rsid w:val="088A3A5D"/>
    <w:rsid w:val="08CC46A8"/>
    <w:rsid w:val="08E05A55"/>
    <w:rsid w:val="096D4659"/>
    <w:rsid w:val="09C24AB1"/>
    <w:rsid w:val="0A592F8E"/>
    <w:rsid w:val="0A6B36CC"/>
    <w:rsid w:val="0A9050AB"/>
    <w:rsid w:val="0ADC48C1"/>
    <w:rsid w:val="0B3E0BC1"/>
    <w:rsid w:val="0B4A3021"/>
    <w:rsid w:val="0B5A0C50"/>
    <w:rsid w:val="0C321EED"/>
    <w:rsid w:val="0C40232D"/>
    <w:rsid w:val="0D0C35C8"/>
    <w:rsid w:val="0D380D3F"/>
    <w:rsid w:val="0D527A10"/>
    <w:rsid w:val="0DCE79BE"/>
    <w:rsid w:val="0E556C7C"/>
    <w:rsid w:val="0F0E18EA"/>
    <w:rsid w:val="0F14439A"/>
    <w:rsid w:val="10A12DA0"/>
    <w:rsid w:val="10E5406E"/>
    <w:rsid w:val="10E94FD6"/>
    <w:rsid w:val="114373F0"/>
    <w:rsid w:val="119904A8"/>
    <w:rsid w:val="122C41DB"/>
    <w:rsid w:val="125E7D63"/>
    <w:rsid w:val="128812A8"/>
    <w:rsid w:val="129F74D2"/>
    <w:rsid w:val="12A56119"/>
    <w:rsid w:val="12C845D2"/>
    <w:rsid w:val="13006730"/>
    <w:rsid w:val="13032AF5"/>
    <w:rsid w:val="1335462F"/>
    <w:rsid w:val="13452790"/>
    <w:rsid w:val="147B08C0"/>
    <w:rsid w:val="156D23CE"/>
    <w:rsid w:val="16325D4A"/>
    <w:rsid w:val="175A2C97"/>
    <w:rsid w:val="17D1199B"/>
    <w:rsid w:val="17FB2AC6"/>
    <w:rsid w:val="18802AD2"/>
    <w:rsid w:val="189B6A98"/>
    <w:rsid w:val="18A41277"/>
    <w:rsid w:val="19402F1C"/>
    <w:rsid w:val="19463EBC"/>
    <w:rsid w:val="19A3785E"/>
    <w:rsid w:val="19CC39A7"/>
    <w:rsid w:val="1B437276"/>
    <w:rsid w:val="1B92395D"/>
    <w:rsid w:val="1BA621E5"/>
    <w:rsid w:val="1BB97A6F"/>
    <w:rsid w:val="1BD637DA"/>
    <w:rsid w:val="1C760F74"/>
    <w:rsid w:val="1CE637EE"/>
    <w:rsid w:val="1D3D5209"/>
    <w:rsid w:val="1D5641A2"/>
    <w:rsid w:val="1DD673C7"/>
    <w:rsid w:val="1DF931F9"/>
    <w:rsid w:val="1E1D1958"/>
    <w:rsid w:val="1E5B6923"/>
    <w:rsid w:val="1E7D4F11"/>
    <w:rsid w:val="1F1B3E9A"/>
    <w:rsid w:val="1FA6578D"/>
    <w:rsid w:val="1FBC1753"/>
    <w:rsid w:val="1FFF15FC"/>
    <w:rsid w:val="20277F2B"/>
    <w:rsid w:val="205E385B"/>
    <w:rsid w:val="205F329E"/>
    <w:rsid w:val="20AB7A2C"/>
    <w:rsid w:val="20EE2BC6"/>
    <w:rsid w:val="21790B09"/>
    <w:rsid w:val="21D17E2A"/>
    <w:rsid w:val="21E14992"/>
    <w:rsid w:val="21EE3F4D"/>
    <w:rsid w:val="230C7C67"/>
    <w:rsid w:val="230E0D87"/>
    <w:rsid w:val="2367633A"/>
    <w:rsid w:val="23B534A8"/>
    <w:rsid w:val="242F3343"/>
    <w:rsid w:val="247B0979"/>
    <w:rsid w:val="24C329D7"/>
    <w:rsid w:val="24E32A79"/>
    <w:rsid w:val="24E46A6F"/>
    <w:rsid w:val="255E2779"/>
    <w:rsid w:val="25703F43"/>
    <w:rsid w:val="25922C59"/>
    <w:rsid w:val="25DA22AA"/>
    <w:rsid w:val="25F40CF0"/>
    <w:rsid w:val="260904AD"/>
    <w:rsid w:val="26440F9D"/>
    <w:rsid w:val="26AD3383"/>
    <w:rsid w:val="270E3C88"/>
    <w:rsid w:val="272B0DAC"/>
    <w:rsid w:val="27434EF3"/>
    <w:rsid w:val="27986A1A"/>
    <w:rsid w:val="285C15FF"/>
    <w:rsid w:val="28A644E9"/>
    <w:rsid w:val="29601DB4"/>
    <w:rsid w:val="2A335825"/>
    <w:rsid w:val="2A365041"/>
    <w:rsid w:val="2A646222"/>
    <w:rsid w:val="2A763AE2"/>
    <w:rsid w:val="2ABE5375"/>
    <w:rsid w:val="2C0159AA"/>
    <w:rsid w:val="2C9921DB"/>
    <w:rsid w:val="2CCC18A4"/>
    <w:rsid w:val="2D5D1B7D"/>
    <w:rsid w:val="2DE10445"/>
    <w:rsid w:val="2E553B6B"/>
    <w:rsid w:val="2E587779"/>
    <w:rsid w:val="2E781932"/>
    <w:rsid w:val="2EF67002"/>
    <w:rsid w:val="2F532964"/>
    <w:rsid w:val="2F5D3FE0"/>
    <w:rsid w:val="2F7A2B63"/>
    <w:rsid w:val="2FA63A68"/>
    <w:rsid w:val="305A1EE2"/>
    <w:rsid w:val="30BB38CF"/>
    <w:rsid w:val="312F2367"/>
    <w:rsid w:val="319A44C6"/>
    <w:rsid w:val="321908CC"/>
    <w:rsid w:val="322531EA"/>
    <w:rsid w:val="32A27B35"/>
    <w:rsid w:val="32B65A11"/>
    <w:rsid w:val="33740094"/>
    <w:rsid w:val="33B35C7F"/>
    <w:rsid w:val="341F19EA"/>
    <w:rsid w:val="342C28E2"/>
    <w:rsid w:val="345B0B2D"/>
    <w:rsid w:val="3481663B"/>
    <w:rsid w:val="35033694"/>
    <w:rsid w:val="364A6774"/>
    <w:rsid w:val="366A584F"/>
    <w:rsid w:val="366E62B0"/>
    <w:rsid w:val="37197283"/>
    <w:rsid w:val="371C1673"/>
    <w:rsid w:val="37612E17"/>
    <w:rsid w:val="379165A8"/>
    <w:rsid w:val="37D0077B"/>
    <w:rsid w:val="382F1CF1"/>
    <w:rsid w:val="391564FA"/>
    <w:rsid w:val="39B8350E"/>
    <w:rsid w:val="39DB0AB5"/>
    <w:rsid w:val="3A0729EB"/>
    <w:rsid w:val="3A2C1654"/>
    <w:rsid w:val="3A877C9B"/>
    <w:rsid w:val="3A891E28"/>
    <w:rsid w:val="3AE433E0"/>
    <w:rsid w:val="3B232429"/>
    <w:rsid w:val="3B553A41"/>
    <w:rsid w:val="3BDA456E"/>
    <w:rsid w:val="3BE97CC4"/>
    <w:rsid w:val="3CB560E5"/>
    <w:rsid w:val="3DB736FB"/>
    <w:rsid w:val="3DE10366"/>
    <w:rsid w:val="3EBC2DD4"/>
    <w:rsid w:val="3F1E4729"/>
    <w:rsid w:val="3F2B4724"/>
    <w:rsid w:val="3F80429B"/>
    <w:rsid w:val="402F7206"/>
    <w:rsid w:val="40904B97"/>
    <w:rsid w:val="409C2C97"/>
    <w:rsid w:val="40E94316"/>
    <w:rsid w:val="40EB18A2"/>
    <w:rsid w:val="410357D6"/>
    <w:rsid w:val="41604E5E"/>
    <w:rsid w:val="41767B27"/>
    <w:rsid w:val="42004FD3"/>
    <w:rsid w:val="420E6497"/>
    <w:rsid w:val="421D0D78"/>
    <w:rsid w:val="42B34675"/>
    <w:rsid w:val="433F38F3"/>
    <w:rsid w:val="434C4C63"/>
    <w:rsid w:val="43566303"/>
    <w:rsid w:val="44CE4BF7"/>
    <w:rsid w:val="44DF1658"/>
    <w:rsid w:val="44F07101"/>
    <w:rsid w:val="45701AF9"/>
    <w:rsid w:val="458A240E"/>
    <w:rsid w:val="458B2DCF"/>
    <w:rsid w:val="45AB47BF"/>
    <w:rsid w:val="461F7ADD"/>
    <w:rsid w:val="46475912"/>
    <w:rsid w:val="46CE4AD7"/>
    <w:rsid w:val="46D463F9"/>
    <w:rsid w:val="46F24DA7"/>
    <w:rsid w:val="478E24F1"/>
    <w:rsid w:val="482B1405"/>
    <w:rsid w:val="48AE6DBB"/>
    <w:rsid w:val="48C67A99"/>
    <w:rsid w:val="49327479"/>
    <w:rsid w:val="49530211"/>
    <w:rsid w:val="497225BE"/>
    <w:rsid w:val="49C668DA"/>
    <w:rsid w:val="4A6E1D7A"/>
    <w:rsid w:val="4A7F3916"/>
    <w:rsid w:val="4A8C54D9"/>
    <w:rsid w:val="4A9420A9"/>
    <w:rsid w:val="4AB272C6"/>
    <w:rsid w:val="4B5A4478"/>
    <w:rsid w:val="4B8B07CC"/>
    <w:rsid w:val="4BB366FF"/>
    <w:rsid w:val="4BC1123A"/>
    <w:rsid w:val="4C5B169D"/>
    <w:rsid w:val="4C811E19"/>
    <w:rsid w:val="4CBC7904"/>
    <w:rsid w:val="4D252034"/>
    <w:rsid w:val="4D454A82"/>
    <w:rsid w:val="4D564B28"/>
    <w:rsid w:val="4D8B0E20"/>
    <w:rsid w:val="4DAA171B"/>
    <w:rsid w:val="4EBD7E07"/>
    <w:rsid w:val="4F2C6405"/>
    <w:rsid w:val="500357DD"/>
    <w:rsid w:val="502A587C"/>
    <w:rsid w:val="503A7CA6"/>
    <w:rsid w:val="518567A4"/>
    <w:rsid w:val="52216DA0"/>
    <w:rsid w:val="522463C8"/>
    <w:rsid w:val="528F669B"/>
    <w:rsid w:val="52930039"/>
    <w:rsid w:val="52A34795"/>
    <w:rsid w:val="53965925"/>
    <w:rsid w:val="53BB779E"/>
    <w:rsid w:val="53BD410E"/>
    <w:rsid w:val="53D852B7"/>
    <w:rsid w:val="5439027B"/>
    <w:rsid w:val="543A208E"/>
    <w:rsid w:val="545C1A2C"/>
    <w:rsid w:val="54F17C15"/>
    <w:rsid w:val="550E35A1"/>
    <w:rsid w:val="555C28EF"/>
    <w:rsid w:val="56163D92"/>
    <w:rsid w:val="561A2F91"/>
    <w:rsid w:val="56513140"/>
    <w:rsid w:val="565B1404"/>
    <w:rsid w:val="56EA256B"/>
    <w:rsid w:val="56FF14CD"/>
    <w:rsid w:val="57CC782E"/>
    <w:rsid w:val="58137D81"/>
    <w:rsid w:val="5865469B"/>
    <w:rsid w:val="59306615"/>
    <w:rsid w:val="5A6D41EE"/>
    <w:rsid w:val="5A8E2ADE"/>
    <w:rsid w:val="5AEE52D7"/>
    <w:rsid w:val="5B003CD4"/>
    <w:rsid w:val="5B2C5901"/>
    <w:rsid w:val="5BC561D6"/>
    <w:rsid w:val="5BCA30C3"/>
    <w:rsid w:val="5BD63961"/>
    <w:rsid w:val="5BDB1642"/>
    <w:rsid w:val="5D3B664E"/>
    <w:rsid w:val="5DA434BC"/>
    <w:rsid w:val="5DC06E09"/>
    <w:rsid w:val="5DD9774E"/>
    <w:rsid w:val="5DE66450"/>
    <w:rsid w:val="5E4F2660"/>
    <w:rsid w:val="5F6E22A2"/>
    <w:rsid w:val="5FB81FB6"/>
    <w:rsid w:val="60000CA9"/>
    <w:rsid w:val="601C359E"/>
    <w:rsid w:val="602A2F5B"/>
    <w:rsid w:val="606D5FB1"/>
    <w:rsid w:val="609947F5"/>
    <w:rsid w:val="60CD46DB"/>
    <w:rsid w:val="60DC4E7C"/>
    <w:rsid w:val="60E46730"/>
    <w:rsid w:val="610261E1"/>
    <w:rsid w:val="619C4546"/>
    <w:rsid w:val="61BA5712"/>
    <w:rsid w:val="62E56DB6"/>
    <w:rsid w:val="631F1BA2"/>
    <w:rsid w:val="63535A90"/>
    <w:rsid w:val="64277DC1"/>
    <w:rsid w:val="64410A44"/>
    <w:rsid w:val="64736857"/>
    <w:rsid w:val="647C173C"/>
    <w:rsid w:val="65332964"/>
    <w:rsid w:val="654D3682"/>
    <w:rsid w:val="66230C2D"/>
    <w:rsid w:val="66820069"/>
    <w:rsid w:val="66D43EF0"/>
    <w:rsid w:val="66DE1A30"/>
    <w:rsid w:val="66E439BA"/>
    <w:rsid w:val="66EA7BAB"/>
    <w:rsid w:val="671913F3"/>
    <w:rsid w:val="67480B37"/>
    <w:rsid w:val="674F255E"/>
    <w:rsid w:val="6776250C"/>
    <w:rsid w:val="678B12D6"/>
    <w:rsid w:val="68FB232C"/>
    <w:rsid w:val="691A570F"/>
    <w:rsid w:val="69702197"/>
    <w:rsid w:val="698C182D"/>
    <w:rsid w:val="6A573DD0"/>
    <w:rsid w:val="6AF96E1A"/>
    <w:rsid w:val="6B354C0E"/>
    <w:rsid w:val="6B5A5D8D"/>
    <w:rsid w:val="6D4948B7"/>
    <w:rsid w:val="6D5F31A0"/>
    <w:rsid w:val="6D634395"/>
    <w:rsid w:val="6D976FEF"/>
    <w:rsid w:val="6E0F79EF"/>
    <w:rsid w:val="6E2A1B04"/>
    <w:rsid w:val="6E497BC6"/>
    <w:rsid w:val="6E6F5D16"/>
    <w:rsid w:val="6EDE2458"/>
    <w:rsid w:val="6F09491A"/>
    <w:rsid w:val="6F270BDE"/>
    <w:rsid w:val="6F32682D"/>
    <w:rsid w:val="6F942E74"/>
    <w:rsid w:val="6FB145F4"/>
    <w:rsid w:val="6FE6375B"/>
    <w:rsid w:val="7008444B"/>
    <w:rsid w:val="701E431A"/>
    <w:rsid w:val="7039164A"/>
    <w:rsid w:val="7044032E"/>
    <w:rsid w:val="7083029D"/>
    <w:rsid w:val="70E870C3"/>
    <w:rsid w:val="70FD18A6"/>
    <w:rsid w:val="71180B00"/>
    <w:rsid w:val="71794527"/>
    <w:rsid w:val="717C071D"/>
    <w:rsid w:val="718B5A8E"/>
    <w:rsid w:val="71D12A9C"/>
    <w:rsid w:val="71F2680D"/>
    <w:rsid w:val="71F71F9E"/>
    <w:rsid w:val="71FD3D1A"/>
    <w:rsid w:val="7256627B"/>
    <w:rsid w:val="72616BFF"/>
    <w:rsid w:val="72AE46FB"/>
    <w:rsid w:val="72AF4744"/>
    <w:rsid w:val="72C911C3"/>
    <w:rsid w:val="72DA2A57"/>
    <w:rsid w:val="731E2C3B"/>
    <w:rsid w:val="740928C1"/>
    <w:rsid w:val="74D574EB"/>
    <w:rsid w:val="754E381E"/>
    <w:rsid w:val="75674CAE"/>
    <w:rsid w:val="75B754E7"/>
    <w:rsid w:val="769C461C"/>
    <w:rsid w:val="77553906"/>
    <w:rsid w:val="77751285"/>
    <w:rsid w:val="77AB24B8"/>
    <w:rsid w:val="78B236E4"/>
    <w:rsid w:val="790E7842"/>
    <w:rsid w:val="79331AE4"/>
    <w:rsid w:val="797851DB"/>
    <w:rsid w:val="7B6902D6"/>
    <w:rsid w:val="7B984D7B"/>
    <w:rsid w:val="7BC6610D"/>
    <w:rsid w:val="7BCC2790"/>
    <w:rsid w:val="7C151EC4"/>
    <w:rsid w:val="7C5C399C"/>
    <w:rsid w:val="7C6C243B"/>
    <w:rsid w:val="7C977CED"/>
    <w:rsid w:val="7D6A62B6"/>
    <w:rsid w:val="7D785B46"/>
    <w:rsid w:val="7D7F7079"/>
    <w:rsid w:val="7D8A50EF"/>
    <w:rsid w:val="7DC42E43"/>
    <w:rsid w:val="7E104322"/>
    <w:rsid w:val="7E605C32"/>
    <w:rsid w:val="7E7315A4"/>
    <w:rsid w:val="7E85156B"/>
    <w:rsid w:val="7EC84080"/>
    <w:rsid w:val="7ECB2916"/>
    <w:rsid w:val="7FC827F9"/>
    <w:rsid w:val="7FEF1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1"/>
      <w:szCs w:val="24"/>
      <w:lang w:val="en-US" w:eastAsia="zh-CN" w:bidi="ar-SA"/>
    </w:rPr>
  </w:style>
  <w:style w:type="paragraph" w:styleId="2">
    <w:name w:val="heading 1"/>
    <w:basedOn w:val="3"/>
    <w:next w:val="1"/>
    <w:qFormat/>
    <w:uiPriority w:val="0"/>
    <w:pPr>
      <w:keepNext/>
      <w:keepLines/>
      <w:numPr>
        <w:ilvl w:val="0"/>
        <w:numId w:val="1"/>
      </w:numPr>
      <w:spacing w:before="100" w:after="90" w:line="240" w:lineRule="auto"/>
      <w:jc w:val="center"/>
      <w:outlineLvl w:val="0"/>
    </w:pPr>
    <w:rPr>
      <w:b/>
      <w:kern w:val="44"/>
      <w:sz w:val="28"/>
    </w:rPr>
  </w:style>
  <w:style w:type="paragraph" w:styleId="4">
    <w:name w:val="heading 2"/>
    <w:basedOn w:val="1"/>
    <w:next w:val="1"/>
    <w:unhideWhenUsed/>
    <w:qFormat/>
    <w:uiPriority w:val="0"/>
    <w:pPr>
      <w:keepNext/>
      <w:keepLines/>
      <w:numPr>
        <w:ilvl w:val="1"/>
        <w:numId w:val="1"/>
      </w:numPr>
      <w:spacing w:before="140" w:after="140" w:line="240" w:lineRule="auto"/>
      <w:outlineLvl w:val="1"/>
    </w:pPr>
    <w:rPr>
      <w:rFonts w:ascii="Arial" w:hAnsi="Arial"/>
      <w:b/>
      <w:sz w:val="24"/>
    </w:rPr>
  </w:style>
  <w:style w:type="paragraph" w:styleId="5">
    <w:name w:val="heading 3"/>
    <w:basedOn w:val="1"/>
    <w:next w:val="1"/>
    <w:unhideWhenUsed/>
    <w:qFormat/>
    <w:uiPriority w:val="0"/>
    <w:pPr>
      <w:keepNext/>
      <w:keepLines/>
      <w:numPr>
        <w:ilvl w:val="2"/>
        <w:numId w:val="1"/>
      </w:numPr>
      <w:spacing w:before="260" w:after="260" w:line="240" w:lineRule="auto"/>
      <w:outlineLvl w:val="2"/>
    </w:pPr>
    <w:rPr>
      <w:b/>
    </w:rPr>
  </w:style>
  <w:style w:type="paragraph" w:styleId="6">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7">
    <w:name w:val="heading 5"/>
    <w:basedOn w:val="1"/>
    <w:next w:val="1"/>
    <w:unhideWhenUsed/>
    <w:qFormat/>
    <w:uiPriority w:val="0"/>
    <w:pPr>
      <w:keepNext/>
      <w:keepLines/>
      <w:numPr>
        <w:ilvl w:val="4"/>
        <w:numId w:val="1"/>
      </w:numPr>
      <w:spacing w:before="280" w:after="290" w:line="372" w:lineRule="auto"/>
      <w:outlineLvl w:val="4"/>
    </w:pPr>
    <w:rPr>
      <w:b/>
      <w:sz w:val="28"/>
    </w:rPr>
  </w:style>
  <w:style w:type="paragraph" w:styleId="8">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9">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10">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1">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3">
    <w:name w:val="toc 1"/>
    <w:basedOn w:val="1"/>
    <w:next w:val="1"/>
    <w:qFormat/>
    <w:uiPriority w:val="0"/>
  </w:style>
  <w:style w:type="paragraph" w:styleId="12">
    <w:name w:val="caption"/>
    <w:basedOn w:val="1"/>
    <w:next w:val="1"/>
    <w:semiHidden/>
    <w:unhideWhenUsed/>
    <w:qFormat/>
    <w:uiPriority w:val="0"/>
    <w:rPr>
      <w:rFonts w:ascii="Arial" w:hAnsi="Arial" w:eastAsia="黑体"/>
      <w:sz w:val="20"/>
    </w:rPr>
  </w:style>
  <w:style w:type="paragraph" w:styleId="13">
    <w:name w:val="annotation text"/>
    <w:basedOn w:val="1"/>
    <w:qFormat/>
    <w:uiPriority w:val="0"/>
    <w:pPr>
      <w:jc w:val="left"/>
    </w:pPr>
  </w:style>
  <w:style w:type="paragraph" w:styleId="14">
    <w:name w:val="toc 3"/>
    <w:basedOn w:val="1"/>
    <w:next w:val="1"/>
    <w:qFormat/>
    <w:uiPriority w:val="0"/>
    <w:pPr>
      <w:ind w:left="840" w:leftChars="400"/>
    </w:pPr>
  </w:style>
  <w:style w:type="paragraph" w:styleId="15">
    <w:name w:val="footer"/>
    <w:basedOn w:val="1"/>
    <w:qFormat/>
    <w:uiPriority w:val="0"/>
    <w:pPr>
      <w:tabs>
        <w:tab w:val="center" w:pos="4153"/>
        <w:tab w:val="right" w:pos="8306"/>
      </w:tabs>
      <w:snapToGrid w:val="0"/>
      <w:jc w:val="left"/>
    </w:pPr>
    <w:rPr>
      <w:sz w:val="18"/>
    </w:rPr>
  </w:style>
  <w:style w:type="paragraph" w:styleId="1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7">
    <w:name w:val="toc 2"/>
    <w:basedOn w:val="1"/>
    <w:next w:val="1"/>
    <w:qFormat/>
    <w:uiPriority w:val="0"/>
    <w:pPr>
      <w:ind w:left="420" w:leftChars="2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qFormat/>
    <w:uiPriority w:val="0"/>
  </w:style>
  <w:style w:type="character" w:styleId="22">
    <w:name w:val="Hyperlink"/>
    <w:basedOn w:val="20"/>
    <w:qFormat/>
    <w:uiPriority w:val="0"/>
    <w:rPr>
      <w:color w:val="0000FF"/>
      <w:u w:val="single"/>
    </w:rPr>
  </w:style>
  <w:style w:type="paragraph" w:customStyle="1" w:styleId="23">
    <w:name w:val="WPSOffice手动目录 1"/>
    <w:qFormat/>
    <w:uiPriority w:val="0"/>
    <w:rPr>
      <w:rFonts w:eastAsia="微软雅黑" w:asciiTheme="minorHAnsi" w:hAnsiTheme="minorHAnsi" w:cstheme="minorBidi"/>
      <w:lang w:val="en-US" w:eastAsia="zh-CN" w:bidi="ar-SA"/>
    </w:rPr>
  </w:style>
  <w:style w:type="paragraph" w:customStyle="1" w:styleId="24">
    <w:name w:val="WPSOffice手动目录 2"/>
    <w:qFormat/>
    <w:uiPriority w:val="0"/>
    <w:pPr>
      <w:ind w:left="200" w:leftChars="200"/>
    </w:pPr>
    <w:rPr>
      <w:rFonts w:eastAsia="微软雅黑" w:asciiTheme="minorHAnsi" w:hAnsiTheme="minorHAnsi" w:cstheme="minorBidi"/>
      <w:lang w:val="en-US" w:eastAsia="zh-CN" w:bidi="ar-SA"/>
    </w:rPr>
  </w:style>
  <w:style w:type="paragraph" w:customStyle="1" w:styleId="25">
    <w:name w:val="WPSOffice手动目录 3"/>
    <w:qFormat/>
    <w:uiPriority w:val="0"/>
    <w:pPr>
      <w:ind w:left="400" w:leftChars="400"/>
    </w:pPr>
    <w:rPr>
      <w:rFonts w:eastAsia="微软雅黑" w:asciiTheme="minorHAnsi" w:hAnsiTheme="minorHAnsi" w:cstheme="minorBidi"/>
      <w:lang w:val="en-US" w:eastAsia="zh-CN" w:bidi="ar-SA"/>
    </w:rPr>
  </w:style>
  <w:style w:type="paragraph" w:styleId="26">
    <w:name w:val="List Paragraph"/>
    <w:basedOn w:val="1"/>
    <w:qFormat/>
    <w:uiPriority w:val="99"/>
    <w:pPr>
      <w:ind w:firstLine="420" w:firstLineChars="200"/>
    </w:pPr>
  </w:style>
  <w:style w:type="character" w:customStyle="1" w:styleId="27">
    <w:name w:val="ne-text"/>
    <w:basedOn w:val="20"/>
    <w:uiPriority w:val="0"/>
  </w:style>
  <w:style w:type="paragraph" w:customStyle="1" w:styleId="28">
    <w:name w:val="ne-p"/>
    <w:basedOn w:val="1"/>
    <w:uiPriority w:val="0"/>
    <w:pPr>
      <w:widowControl/>
      <w:spacing w:before="100" w:beforeAutospacing="1" w:after="100" w:afterAutospacing="1" w:line="240" w:lineRule="auto"/>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4050</Words>
  <Characters>5231</Characters>
  <Lines>43</Lines>
  <Paragraphs>12</Paragraphs>
  <TotalTime>0</TotalTime>
  <ScaleCrop>false</ScaleCrop>
  <LinksUpToDate>false</LinksUpToDate>
  <CharactersWithSpaces>5508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2020-09-15T08:16:00Z</dcterms:created>
  <dc:creator>WPS_1591149877</dc:creator>
  <cp:lastModifiedBy>wuhui</cp:lastModifiedBy>
  <dcterms:modified xsi:type="dcterms:W3CDTF">2023-08-15T03:01:07Z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3A848D064A6D4411A172589A8F05B41E</vt:lpwstr>
  </property>
</Properties>
</file>