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spacing w:line="600" w:lineRule="auto"/>
        <w:ind w:firstLine="6184" w:firstLineChars="220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u w:val="single"/>
          <w:lang w:val="en-US" w:eastAsia="zh-CN"/>
        </w:rPr>
        <w:t xml:space="preserve">    MS-002    </w:t>
      </w:r>
      <w:r>
        <w:rPr>
          <w:rFonts w:hint="eastAsia" w:ascii="宋体" w:hAnsi="宋体" w:eastAsia="宋体" w:cs="宋体"/>
          <w:b/>
          <w:bCs/>
          <w:sz w:val="28"/>
          <w:szCs w:val="28"/>
          <w:lang w:val="en-US" w:eastAsia="zh-CN"/>
        </w:rPr>
        <w:t>产品注册调研报告</w:t>
      </w:r>
    </w:p>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8"/>
          <w:szCs w:val="28"/>
          <w:lang w:val="en-US" w:eastAsia="zh-CN"/>
        </w:rPr>
        <w:t xml:space="preserve">                                                                      </w:t>
      </w:r>
      <w:r>
        <w:rPr>
          <w:rFonts w:hint="eastAsia" w:ascii="Times New Roman" w:hAnsi="Times New Roman" w:eastAsia="宋体" w:cs="Times New Roman"/>
          <w:sz w:val="21"/>
          <w:szCs w:val="21"/>
          <w:lang w:val="en-US" w:eastAsia="zh-CN"/>
        </w:rPr>
        <w:t xml:space="preserve"> 编制人/日期：             复核人/日期：</w:t>
      </w:r>
    </w:p>
    <w:p>
      <w:pPr>
        <w:spacing w:line="240" w:lineRule="auto"/>
        <w:jc w:val="center"/>
        <w:rPr>
          <w:rFonts w:hint="eastAsia" w:ascii="Times New Roman" w:hAnsi="Times New Roman" w:eastAsia="宋体" w:cs="Times New Roman"/>
          <w:sz w:val="21"/>
          <w:szCs w:val="21"/>
          <w:lang w:val="en-US" w:eastAsia="zh-CN"/>
        </w:rPr>
      </w:pPr>
    </w:p>
    <w:p>
      <w:pPr>
        <w:widowControl w:val="0"/>
        <w:numPr>
          <w:ilvl w:val="0"/>
          <w:numId w:val="1"/>
        </w:numPr>
        <w:jc w:val="both"/>
        <w:outlineLvl w:val="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现有注册产品信息分析</w:t>
      </w:r>
    </w:p>
    <w:p>
      <w:pPr>
        <w:widowControl w:val="0"/>
        <w:numPr>
          <w:ilvl w:val="0"/>
          <w:numId w:val="0"/>
        </w:numPr>
        <w:jc w:val="both"/>
        <w:rPr>
          <w:rFonts w:hint="default" w:ascii="宋体" w:hAnsi="宋体" w:eastAsia="宋体" w:cs="宋体"/>
          <w:sz w:val="21"/>
          <w:szCs w:val="21"/>
          <w:lang w:val="en-US" w:eastAsia="zh-CN"/>
        </w:rPr>
      </w:pPr>
    </w:p>
    <w:p>
      <w:pPr>
        <w:numPr>
          <w:ilvl w:val="0"/>
          <w:numId w:val="0"/>
        </w:numPr>
        <w:ind w:firstLine="422" w:firstLineChars="200"/>
        <w:rPr>
          <w:rFonts w:hint="eastAsia"/>
          <w:b/>
          <w:bCs/>
          <w:lang w:val="en-US" w:eastAsia="zh-CN"/>
        </w:rPr>
      </w:pPr>
      <w:r>
        <w:rPr>
          <w:rFonts w:hint="eastAsia"/>
          <w:b/>
          <w:bCs/>
          <w:lang w:val="en-US" w:eastAsia="zh-CN"/>
        </w:rPr>
        <w:t>国产：</w:t>
      </w:r>
    </w:p>
    <w:p>
      <w:pPr>
        <w:numPr>
          <w:ilvl w:val="0"/>
          <w:numId w:val="0"/>
        </w:numPr>
        <w:ind w:firstLine="420" w:firstLineChars="200"/>
        <w:rPr>
          <w:rFonts w:hint="default"/>
          <w:lang w:val="en-US" w:eastAsia="zh-CN"/>
        </w:rPr>
      </w:pPr>
      <w:r>
        <w:rPr>
          <w:rFonts w:hint="eastAsia"/>
          <w:lang w:val="en-US" w:eastAsia="zh-CN"/>
        </w:rPr>
        <w:t>国家药品监督管理局网站数据库检索到“骨科手术导航定位”有3张注册证（共1页），全部为三类医疗器械注册证，见表一。</w:t>
      </w:r>
    </w:p>
    <w:p>
      <w:pPr>
        <w:numPr>
          <w:ilvl w:val="0"/>
          <w:numId w:val="0"/>
        </w:numPr>
        <w:ind w:firstLine="420" w:firstLineChars="200"/>
        <w:rPr>
          <w:rFonts w:hint="eastAsia"/>
          <w:lang w:val="en-US" w:eastAsia="zh-CN"/>
        </w:rPr>
      </w:pPr>
      <w:r>
        <w:rPr>
          <w:rFonts w:hint="eastAsia"/>
          <w:lang w:val="en-US" w:eastAsia="zh-CN"/>
        </w:rPr>
        <w:t>其中北京天智航医疗科技股份有限公司的2个骨科手术导航定位系统，都为三类医疗器械设备，预期用途适用于脊柱外科和创伤骨科开放或经皮手术中，其中国械注准20163012280为国械注准20163542280延续注册证。</w:t>
      </w:r>
    </w:p>
    <w:p>
      <w:pPr>
        <w:numPr>
          <w:ilvl w:val="0"/>
          <w:numId w:val="0"/>
        </w:numPr>
        <w:ind w:firstLine="420" w:firstLineChars="200"/>
        <w:rPr>
          <w:rFonts w:hint="eastAsia"/>
          <w:lang w:val="en-US" w:eastAsia="zh-CN"/>
        </w:rPr>
      </w:pPr>
      <w:r>
        <w:rPr>
          <w:rFonts w:hint="eastAsia"/>
          <w:lang w:val="en-US" w:eastAsia="zh-CN"/>
        </w:rPr>
        <w:t>国家药品监督管理局网站数据库检索到“脊柱外科手术导航”有2张注册证（共1页），全部为三类医疗器械注册证，见表一。</w:t>
      </w:r>
    </w:p>
    <w:p>
      <w:pPr>
        <w:numPr>
          <w:ilvl w:val="0"/>
          <w:numId w:val="0"/>
        </w:numPr>
        <w:rPr>
          <w:rFonts w:hint="eastAsia"/>
          <w:lang w:val="en-US" w:eastAsia="zh-CN"/>
        </w:rPr>
      </w:pPr>
    </w:p>
    <w:p>
      <w:pPr>
        <w:numPr>
          <w:ilvl w:val="0"/>
          <w:numId w:val="0"/>
        </w:numPr>
        <w:ind w:firstLine="422" w:firstLineChars="200"/>
        <w:rPr>
          <w:rFonts w:hint="eastAsia"/>
          <w:lang w:val="en-US" w:eastAsia="zh-CN"/>
        </w:rPr>
      </w:pPr>
      <w:r>
        <w:rPr>
          <w:rFonts w:hint="eastAsia"/>
          <w:b/>
          <w:bCs/>
          <w:lang w:val="en-US" w:eastAsia="zh-CN"/>
        </w:rPr>
        <w:t>进口</w:t>
      </w: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国家药品监督管理局网站数据库检索到“骨科手术导航系统”有3张注册证（共1页），全部为三类医疗器械注册证，见表二。</w:t>
      </w:r>
    </w:p>
    <w:p>
      <w:pPr>
        <w:numPr>
          <w:ilvl w:val="0"/>
          <w:numId w:val="0"/>
        </w:numPr>
        <w:ind w:firstLine="420" w:firstLineChars="200"/>
        <w:rPr>
          <w:rFonts w:hint="eastAsia"/>
          <w:lang w:val="en-US" w:eastAsia="zh-CN"/>
        </w:rPr>
      </w:pPr>
      <w:r>
        <w:rPr>
          <w:rFonts w:hint="eastAsia"/>
          <w:lang w:val="en-US" w:eastAsia="zh-CN"/>
        </w:rPr>
        <w:t>其中美敦力脊柱和创伤手术导航系统Spine and Trauma Treatment Guidance System预期用途为用于脊柱和创伤开放或经皮手术过程中。</w:t>
      </w:r>
    </w:p>
    <w:p>
      <w:pPr>
        <w:numPr>
          <w:ilvl w:val="0"/>
          <w:numId w:val="0"/>
        </w:numPr>
        <w:ind w:firstLine="420" w:firstLineChars="200"/>
        <w:rPr>
          <w:rFonts w:hint="eastAsia"/>
          <w:lang w:val="en-US" w:eastAsia="zh-CN"/>
        </w:rPr>
      </w:pPr>
    </w:p>
    <w:p>
      <w:pPr>
        <w:numPr>
          <w:ilvl w:val="0"/>
          <w:numId w:val="0"/>
        </w:numPr>
        <w:ind w:firstLine="422" w:firstLineChars="200"/>
        <w:rPr>
          <w:rFonts w:hint="eastAsia"/>
          <w:b/>
          <w:bCs/>
          <w:lang w:val="en-US" w:eastAsia="zh-CN"/>
        </w:rPr>
      </w:pPr>
      <w:r>
        <w:rPr>
          <w:rFonts w:hint="eastAsia"/>
          <w:b/>
          <w:bCs/>
          <w:lang w:val="en-US" w:eastAsia="zh-CN"/>
        </w:rPr>
        <w:t>结论：</w:t>
      </w:r>
    </w:p>
    <w:p>
      <w:pPr>
        <w:numPr>
          <w:ilvl w:val="0"/>
          <w:numId w:val="0"/>
        </w:numPr>
        <w:ind w:leftChars="0" w:firstLine="420" w:firstLineChars="200"/>
        <w:rPr>
          <w:rFonts w:hint="eastAsia"/>
          <w:lang w:val="en-US" w:eastAsia="zh-CN"/>
        </w:rPr>
      </w:pPr>
      <w:r>
        <w:rPr>
          <w:rFonts w:hint="eastAsia"/>
          <w:lang w:val="en-US" w:eastAsia="zh-CN"/>
        </w:rPr>
        <w:t>查询国家药监局医疗器械数据库，国内预期用途适用于脊柱与创伤的，仅北京天智航医疗科技股份有限公司2个骨科手术导航定位系统产品。国外产品预期用途适用于脊柱与创伤的，仅有美敦力脊柱和创伤手术导航系统，但此产品结构组成与MS-002不同。</w:t>
      </w:r>
    </w:p>
    <w:p>
      <w:pPr>
        <w:numPr>
          <w:ilvl w:val="0"/>
          <w:numId w:val="0"/>
        </w:numPr>
        <w:ind w:leftChars="0" w:firstLine="420" w:firstLineChars="200"/>
        <w:rPr>
          <w:rFonts w:hint="eastAsia"/>
          <w:lang w:val="en-US" w:eastAsia="zh-CN"/>
        </w:rPr>
      </w:pPr>
    </w:p>
    <w:p>
      <w:pPr>
        <w:numPr>
          <w:ilvl w:val="0"/>
          <w:numId w:val="0"/>
        </w:numPr>
        <w:ind w:leftChars="0" w:firstLine="420" w:firstLineChars="200"/>
        <w:rPr>
          <w:rFonts w:hint="eastAsia"/>
          <w:lang w:val="en-US" w:eastAsia="zh-CN"/>
        </w:rPr>
      </w:pPr>
      <w:r>
        <w:rPr>
          <w:rFonts w:hint="eastAsia"/>
          <w:lang w:val="en-US" w:eastAsia="zh-CN"/>
        </w:rPr>
        <w:t>查询国家药监局医疗器械数据库，国内预期用途适用于脊柱的，有深圳市鑫君特智能医疗器械有限公司的“脊柱外科手术导航定位系统”和</w:t>
      </w:r>
      <w:r>
        <w:rPr>
          <w:rFonts w:hint="eastAsia" w:ascii="宋体" w:hAnsi="宋体" w:eastAsia="宋体" w:cs="宋体"/>
          <w:sz w:val="21"/>
          <w:szCs w:val="21"/>
          <w:lang w:val="en-US" w:eastAsia="zh-CN"/>
        </w:rPr>
        <w:t>苏州铸正机器人有限公司的“</w:t>
      </w:r>
      <w:r>
        <w:rPr>
          <w:rFonts w:hint="eastAsia" w:ascii="宋体" w:hAnsi="宋体" w:eastAsia="宋体" w:cs="宋体"/>
          <w:sz w:val="21"/>
          <w:szCs w:val="21"/>
        </w:rPr>
        <w:t>脊柱外科手术导航定位设备</w:t>
      </w:r>
      <w:r>
        <w:rPr>
          <w:rFonts w:hint="eastAsia" w:ascii="宋体" w:hAnsi="宋体" w:eastAsia="宋体" w:cs="宋体"/>
          <w:sz w:val="21"/>
          <w:szCs w:val="21"/>
          <w:lang w:val="en-US" w:eastAsia="zh-CN"/>
        </w:rPr>
        <w:t>”</w:t>
      </w:r>
      <w:r>
        <w:rPr>
          <w:rFonts w:hint="eastAsia"/>
          <w:lang w:val="en-US" w:eastAsia="zh-CN"/>
        </w:rPr>
        <w:t>。</w:t>
      </w:r>
    </w:p>
    <w:p>
      <w:pPr>
        <w:numPr>
          <w:ilvl w:val="0"/>
          <w:numId w:val="0"/>
        </w:numPr>
        <w:ind w:leftChars="0" w:firstLine="420" w:firstLineChars="200"/>
        <w:rPr>
          <w:rFonts w:hint="eastAsia"/>
          <w:lang w:val="en-US" w:eastAsia="zh-CN"/>
        </w:rPr>
      </w:pPr>
    </w:p>
    <w:p>
      <w:pPr>
        <w:numPr>
          <w:ilvl w:val="0"/>
          <w:numId w:val="0"/>
        </w:numPr>
        <w:ind w:leftChars="0" w:firstLine="420" w:firstLineChars="200"/>
        <w:rPr>
          <w:rFonts w:hint="eastAsia"/>
          <w:lang w:val="en-US" w:eastAsia="zh-CN"/>
        </w:rPr>
      </w:pPr>
      <w:r>
        <w:rPr>
          <w:rFonts w:hint="eastAsia"/>
          <w:lang w:val="en-US" w:eastAsia="zh-CN"/>
        </w:rPr>
        <w:t>国外产品预期用途适用于脊柱的：</w:t>
      </w:r>
    </w:p>
    <w:p>
      <w:pPr>
        <w:numPr>
          <w:ilvl w:val="0"/>
          <w:numId w:val="2"/>
        </w:numPr>
        <w:ind w:leftChars="0" w:firstLine="420" w:firstLineChars="200"/>
        <w:rPr>
          <w:rFonts w:hint="eastAsia"/>
          <w:lang w:val="en-US" w:eastAsia="zh-CN"/>
        </w:rPr>
      </w:pPr>
      <w:r>
        <w:rPr>
          <w:rFonts w:hint="eastAsia"/>
          <w:lang w:val="en-US" w:eastAsia="zh-CN"/>
        </w:rPr>
        <w:t>美敦力“脊柱外科手术导航定位系统Spine Surgical Navigation and Positioning System”</w:t>
      </w:r>
    </w:p>
    <w:p>
      <w:pPr>
        <w:numPr>
          <w:ilvl w:val="0"/>
          <w:numId w:val="2"/>
        </w:numPr>
        <w:ind w:leftChars="0" w:firstLine="420" w:firstLineChars="200"/>
        <w:rPr>
          <w:rFonts w:hint="default"/>
          <w:lang w:val="en-US" w:eastAsia="zh-CN"/>
        </w:rPr>
      </w:pPr>
      <w:r>
        <w:rPr>
          <w:rFonts w:hint="eastAsia"/>
          <w:lang w:val="en-US" w:eastAsia="zh-CN"/>
        </w:rPr>
        <w:t>美敦力“脊柱外科手术定位系统Surgical Positioning System”</w:t>
      </w:r>
    </w:p>
    <w:p>
      <w:pPr>
        <w:numPr>
          <w:ilvl w:val="0"/>
          <w:numId w:val="2"/>
        </w:numPr>
        <w:ind w:leftChars="0" w:firstLine="420" w:firstLineChars="200"/>
        <w:rPr>
          <w:rFonts w:hint="default"/>
          <w:lang w:val="en-US" w:eastAsia="zh-CN"/>
        </w:rPr>
      </w:pPr>
      <w:r>
        <w:rPr>
          <w:rFonts w:hint="eastAsia" w:ascii="宋体" w:hAnsi="宋体" w:eastAsia="宋体" w:cs="宋体"/>
          <w:sz w:val="21"/>
          <w:szCs w:val="21"/>
        </w:rPr>
        <w:t>德国史赛克莱宾格股份两合公司</w:t>
      </w:r>
      <w:r>
        <w:rPr>
          <w:rFonts w:hint="eastAsia"/>
          <w:lang w:val="en-US" w:eastAsia="zh-CN"/>
        </w:rPr>
        <w:t>Stryker Leibinger GmbH &amp; Co.KG</w:t>
      </w:r>
      <w:r>
        <w:rPr>
          <w:rFonts w:hint="eastAsia" w:ascii="宋体" w:hAnsi="宋体" w:eastAsia="宋体" w:cs="宋体"/>
          <w:sz w:val="21"/>
          <w:szCs w:val="21"/>
          <w:lang w:val="en-US" w:eastAsia="zh-CN"/>
        </w:rPr>
        <w:t>的“</w:t>
      </w:r>
      <w:r>
        <w:rPr>
          <w:rFonts w:hint="eastAsia" w:ascii="宋体" w:hAnsi="宋体" w:eastAsia="宋体" w:cs="宋体"/>
          <w:sz w:val="21"/>
          <w:szCs w:val="21"/>
        </w:rPr>
        <w:t>骨科手术导航系统</w:t>
      </w:r>
      <w:r>
        <w:rPr>
          <w:rFonts w:hint="eastAsia"/>
          <w:lang w:val="en-US" w:eastAsia="zh-CN"/>
        </w:rPr>
        <w:t>Stryker Navigation System for Computer Assisted Surgery</w:t>
      </w:r>
      <w:r>
        <w:rPr>
          <w:rFonts w:hint="eastAsia" w:ascii="宋体" w:hAnsi="宋体" w:eastAsia="宋体" w:cs="宋体"/>
          <w:sz w:val="21"/>
          <w:szCs w:val="21"/>
          <w:lang w:val="en-US" w:eastAsia="zh-CN"/>
        </w:rPr>
        <w:t>”</w:t>
      </w:r>
    </w:p>
    <w:p>
      <w:pPr>
        <w:numPr>
          <w:ilvl w:val="0"/>
          <w:numId w:val="2"/>
        </w:numPr>
        <w:ind w:leftChars="0" w:firstLine="420" w:firstLineChars="200"/>
        <w:rPr>
          <w:rFonts w:hint="default"/>
          <w:lang w:val="en-US" w:eastAsia="zh-CN"/>
        </w:rPr>
      </w:pPr>
      <w:r>
        <w:rPr>
          <w:rFonts w:hint="eastAsia"/>
          <w:lang w:val="en-US" w:eastAsia="zh-CN"/>
        </w:rPr>
        <w:t>MEDTECH S.A的“脑外科与脊柱外科手术导航定位系统Computer assisted surgical device”</w:t>
      </w:r>
    </w:p>
    <w:p>
      <w:pPr>
        <w:numPr>
          <w:ilvl w:val="0"/>
          <w:numId w:val="0"/>
        </w:numPr>
        <w:rPr>
          <w:rFonts w:hint="default"/>
          <w:lang w:val="en-US" w:eastAsia="zh-CN"/>
        </w:rPr>
      </w:pPr>
    </w:p>
    <w:p>
      <w:pPr>
        <w:numPr>
          <w:ilvl w:val="0"/>
          <w:numId w:val="0"/>
        </w:numPr>
        <w:rPr>
          <w:rFonts w:hint="default"/>
          <w:lang w:val="en-US" w:eastAsia="zh-CN"/>
        </w:rPr>
      </w:pPr>
    </w:p>
    <w:p>
      <w:pPr>
        <w:widowControl w:val="0"/>
        <w:numPr>
          <w:ilvl w:val="0"/>
          <w:numId w:val="0"/>
        </w:numPr>
        <w:ind w:firstLine="6746" w:firstLineChars="320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表一：国产医疗器械注册证</w:t>
      </w:r>
    </w:p>
    <w:tbl>
      <w:tblPr>
        <w:tblStyle w:val="6"/>
        <w:tblW w:w="15682"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2"/>
        <w:gridCol w:w="740"/>
        <w:gridCol w:w="2797"/>
        <w:gridCol w:w="4483"/>
        <w:gridCol w:w="2130"/>
        <w:gridCol w:w="3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名称</w:t>
            </w:r>
          </w:p>
        </w:tc>
        <w:tc>
          <w:tcPr>
            <w:tcW w:w="740" w:type="dxa"/>
            <w:vAlign w:val="center"/>
          </w:tcPr>
          <w:p>
            <w:pPr>
              <w:widowControl w:val="0"/>
              <w:numPr>
                <w:ilvl w:val="0"/>
                <w:numId w:val="0"/>
              </w:numPr>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类别</w:t>
            </w:r>
          </w:p>
        </w:tc>
        <w:tc>
          <w:tcPr>
            <w:tcW w:w="2797" w:type="dxa"/>
            <w:vAlign w:val="center"/>
          </w:tcPr>
          <w:p>
            <w:pPr>
              <w:widowControl w:val="0"/>
              <w:numPr>
                <w:ilvl w:val="0"/>
                <w:numId w:val="0"/>
              </w:numPr>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注册证号/注册人名称</w:t>
            </w:r>
          </w:p>
        </w:tc>
        <w:tc>
          <w:tcPr>
            <w:tcW w:w="4483"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结构组成</w:t>
            </w:r>
          </w:p>
        </w:tc>
        <w:tc>
          <w:tcPr>
            <w:tcW w:w="2130"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规格型号</w:t>
            </w:r>
          </w:p>
        </w:tc>
        <w:tc>
          <w:tcPr>
            <w:tcW w:w="3540"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rPr>
              <w:t>适用范围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骨科手术导航定位系统</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shd w:val="clear"/>
                <w:lang w:val="en-US" w:eastAsia="zh-CN"/>
              </w:rPr>
              <w:t>国</w:t>
            </w:r>
            <w:r>
              <w:rPr>
                <w:rFonts w:hint="eastAsia" w:ascii="宋体" w:hAnsi="宋体" w:eastAsia="宋体" w:cs="宋体"/>
                <w:sz w:val="21"/>
                <w:szCs w:val="21"/>
                <w:shd w:val="clear"/>
              </w:rPr>
              <w:t>械注准2</w:t>
            </w:r>
            <w:r>
              <w:rPr>
                <w:rFonts w:hint="eastAsia" w:ascii="宋体" w:hAnsi="宋体" w:eastAsia="宋体" w:cs="宋体"/>
                <w:sz w:val="21"/>
                <w:szCs w:val="21"/>
              </w:rPr>
              <w:t>0163012280</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批准时间：2021-10-08</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原注册证：国械注准20163542280</w:t>
            </w:r>
            <w:r>
              <w:rPr>
                <w:rFonts w:hint="eastAsia" w:ascii="宋体" w:hAnsi="宋体" w:eastAsia="宋体" w:cs="宋体"/>
                <w:sz w:val="21"/>
                <w:szCs w:val="21"/>
                <w:lang w:eastAsia="zh-CN"/>
              </w:rPr>
              <w:t>）</w:t>
            </w:r>
          </w:p>
          <w:p>
            <w:pPr>
              <w:widowControl w:val="0"/>
              <w:numPr>
                <w:ilvl w:val="0"/>
                <w:numId w:val="0"/>
              </w:numPr>
              <w:jc w:val="both"/>
              <w:rPr>
                <w:rFonts w:hint="eastAsia" w:ascii="宋体" w:hAnsi="宋体" w:eastAsia="宋体" w:cs="宋体"/>
                <w:sz w:val="21"/>
                <w:szCs w:val="21"/>
                <w:lang w:eastAsia="zh-CN"/>
              </w:rPr>
            </w:pPr>
          </w:p>
          <w:p>
            <w:pPr>
              <w:widowControl w:val="0"/>
              <w:numPr>
                <w:ilvl w:val="0"/>
                <w:numId w:val="0"/>
              </w:numPr>
              <w:ind w:left="0" w:leftChars="0" w:firstLine="0" w:firstLineChars="0"/>
              <w:jc w:val="both"/>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公司名称：北京天智航医疗科技股份有限公司</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由主机、机械臂、手术计划与控制软件、光学跟踪系统、主控台车和导航定位工具包组成，其中导航定位工具包含有基座、跟踪器、连接器、标定器、引导器、套筒、固定器，型号规格详见附件。</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TiRobot、TiRobot Advance、TiRobot Advance Trauma、TiRobot Advance Spine</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用于在脊柱外科和创伤骨科开放或经皮手术中以机械臂辅助完成手术器械或植入物的定位。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骨科手术导航定位系统</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国械注准20213010095（</w:t>
            </w:r>
            <w:r>
              <w:rPr>
                <w:rFonts w:hint="eastAsia" w:ascii="宋体" w:hAnsi="宋体" w:eastAsia="宋体" w:cs="宋体"/>
                <w:sz w:val="21"/>
                <w:szCs w:val="21"/>
                <w:lang w:val="en-US" w:eastAsia="zh-CN"/>
              </w:rPr>
              <w:t>批准时间：</w:t>
            </w:r>
            <w:r>
              <w:rPr>
                <w:rFonts w:hint="eastAsia" w:ascii="宋体" w:hAnsi="宋体" w:eastAsia="宋体" w:cs="宋体"/>
                <w:sz w:val="21"/>
                <w:szCs w:val="21"/>
              </w:rPr>
              <w:t>202</w:t>
            </w:r>
            <w:r>
              <w:rPr>
                <w:rFonts w:hint="eastAsia" w:ascii="宋体" w:hAnsi="宋体" w:eastAsia="宋体" w:cs="宋体"/>
                <w:sz w:val="21"/>
                <w:szCs w:val="21"/>
                <w:lang w:val="en-US" w:eastAsia="zh-CN"/>
              </w:rPr>
              <w:t>1</w:t>
            </w:r>
            <w:r>
              <w:rPr>
                <w:rFonts w:hint="eastAsia" w:ascii="宋体" w:hAnsi="宋体" w:eastAsia="宋体" w:cs="宋体"/>
                <w:sz w:val="21"/>
                <w:szCs w:val="21"/>
              </w:rPr>
              <w:t>-0</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sz w:val="21"/>
                <w:szCs w:val="21"/>
                <w:lang w:val="en-US" w:eastAsia="zh-CN"/>
              </w:rPr>
              <w:t>07</w:t>
            </w:r>
            <w:r>
              <w:rPr>
                <w:rFonts w:hint="eastAsia" w:ascii="宋体" w:hAnsi="宋体" w:eastAsia="宋体" w:cs="宋体"/>
                <w:sz w:val="21"/>
                <w:szCs w:val="21"/>
                <w:lang w:eastAsia="zh-CN"/>
              </w:rPr>
              <w:t>）</w:t>
            </w:r>
          </w:p>
          <w:p>
            <w:pPr>
              <w:widowControl w:val="0"/>
              <w:numPr>
                <w:ilvl w:val="0"/>
                <w:numId w:val="0"/>
              </w:numPr>
              <w:jc w:val="both"/>
              <w:rPr>
                <w:rFonts w:hint="eastAsia" w:ascii="宋体" w:hAnsi="宋体" w:eastAsia="宋体" w:cs="宋体"/>
                <w:sz w:val="21"/>
                <w:szCs w:val="21"/>
                <w:lang w:eastAsia="zh-CN"/>
              </w:rPr>
            </w:pPr>
          </w:p>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公司名称：北京天智航医疗科技股份有限公司</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由主机、主控台车、手术计划与控制软件、导航定位工具包（含跟踪器、连接器、标定器、引导器、套筒、固定器，详见附页）、影像设备跟踪器组成。</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TiRobot ForcePro Superior、TiRobot ForcePro Spine</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在脊柱外科和创伤骨科（仅TiRobot ForcePro Superior适用）开放或经皮手术中，用于手术器械或植入物的定位。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脊柱外科手术导航定位系统</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国械注准20213010131（</w:t>
            </w:r>
            <w:r>
              <w:rPr>
                <w:rFonts w:hint="eastAsia" w:ascii="宋体" w:hAnsi="宋体" w:eastAsia="宋体" w:cs="宋体"/>
                <w:sz w:val="21"/>
                <w:szCs w:val="21"/>
                <w:lang w:val="en-US" w:eastAsia="zh-CN"/>
              </w:rPr>
              <w:t>批准时间：</w:t>
            </w:r>
            <w:r>
              <w:rPr>
                <w:rFonts w:hint="eastAsia" w:ascii="宋体" w:hAnsi="宋体" w:eastAsia="宋体" w:cs="宋体"/>
                <w:sz w:val="21"/>
                <w:szCs w:val="21"/>
              </w:rPr>
              <w:t>20</w:t>
            </w:r>
            <w:r>
              <w:rPr>
                <w:rFonts w:hint="eastAsia" w:ascii="宋体" w:hAnsi="宋体" w:eastAsia="宋体" w:cs="宋体"/>
                <w:sz w:val="21"/>
                <w:szCs w:val="21"/>
                <w:lang w:val="en-US" w:eastAsia="zh-CN"/>
              </w:rPr>
              <w:t>21</w:t>
            </w:r>
            <w:r>
              <w:rPr>
                <w:rFonts w:hint="eastAsia" w:ascii="宋体" w:hAnsi="宋体" w:eastAsia="宋体" w:cs="宋体"/>
                <w:sz w:val="21"/>
                <w:szCs w:val="21"/>
              </w:rPr>
              <w:t>-</w:t>
            </w:r>
            <w:r>
              <w:rPr>
                <w:rFonts w:hint="eastAsia" w:ascii="宋体" w:hAnsi="宋体" w:eastAsia="宋体" w:cs="宋体"/>
                <w:sz w:val="21"/>
                <w:szCs w:val="21"/>
                <w:lang w:val="en-US" w:eastAsia="zh-CN"/>
              </w:rPr>
              <w:t>02</w:t>
            </w:r>
            <w:r>
              <w:rPr>
                <w:rFonts w:hint="eastAsia" w:ascii="宋体" w:hAnsi="宋体" w:eastAsia="宋体" w:cs="宋体"/>
                <w:sz w:val="21"/>
                <w:szCs w:val="21"/>
              </w:rPr>
              <w:t>-</w:t>
            </w:r>
            <w:r>
              <w:rPr>
                <w:rFonts w:hint="eastAsia" w:ascii="宋体" w:hAnsi="宋体" w:eastAsia="宋体" w:cs="宋体"/>
                <w:sz w:val="21"/>
                <w:szCs w:val="21"/>
                <w:lang w:val="en-US" w:eastAsia="zh-CN"/>
              </w:rPr>
              <w:t>24</w:t>
            </w:r>
            <w:r>
              <w:rPr>
                <w:rFonts w:hint="eastAsia" w:ascii="宋体" w:hAnsi="宋体" w:eastAsia="宋体" w:cs="宋体"/>
                <w:sz w:val="21"/>
                <w:szCs w:val="21"/>
                <w:lang w:eastAsia="zh-CN"/>
              </w:rPr>
              <w:t>）</w:t>
            </w:r>
          </w:p>
          <w:p>
            <w:pPr>
              <w:widowControl w:val="0"/>
              <w:numPr>
                <w:ilvl w:val="0"/>
                <w:numId w:val="0"/>
              </w:numPr>
              <w:jc w:val="both"/>
              <w:rPr>
                <w:rFonts w:hint="eastAsia" w:ascii="宋体" w:hAnsi="宋体" w:eastAsia="宋体" w:cs="宋体"/>
                <w:sz w:val="21"/>
                <w:szCs w:val="21"/>
                <w:lang w:eastAsia="zh-CN"/>
              </w:rPr>
            </w:pPr>
          </w:p>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公司名称：深圳市鑫君特智能医疗器械有限公司</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b/>
                <w:bCs/>
                <w:kern w:val="2"/>
                <w:sz w:val="21"/>
                <w:szCs w:val="21"/>
                <w:lang w:val="en-US" w:eastAsia="zh-CN" w:bidi="ar-SA"/>
              </w:rPr>
            </w:pPr>
            <w:r>
              <w:rPr>
                <w:rFonts w:hint="eastAsia" w:ascii="宋体" w:hAnsi="宋体" w:eastAsia="宋体" w:cs="宋体"/>
                <w:b w:val="0"/>
                <w:bCs w:val="0"/>
                <w:sz w:val="21"/>
                <w:szCs w:val="21"/>
              </w:rPr>
              <w:t>该产品由执行系统、医生工作站、系统软件及附件组成，详见产品技术要求。</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XGK-6508A</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该产品适用于脊柱外科手术的术前规划、术中导航定位和克氏针置入，辅助完成手术。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脊柱外科手术导航定位设备</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国械注准20223010268（批准时间：2022-02-25）</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公司名称：苏州铸正机器人有限公司</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sz w:val="21"/>
                <w:szCs w:val="21"/>
              </w:rPr>
              <w:t>该产品由定位架、末端定位标尺、上/下操作面板、定位机械臂、驱动系统台车和导航软件组成，详见产品技术要求。</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PSIS-A</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该产品适用于脊柱外科手术过程中手术器械和植入物的导航定位</w:t>
            </w:r>
            <w:r>
              <w:rPr>
                <w:rFonts w:hint="eastAsia" w:ascii="宋体" w:hAnsi="宋体" w:eastAsia="宋体" w:cs="宋体"/>
                <w:sz w:val="21"/>
                <w:szCs w:val="21"/>
                <w:lang w:eastAsia="zh-CN"/>
              </w:rPr>
              <w:t>。</w:t>
            </w:r>
          </w:p>
        </w:tc>
      </w:tr>
    </w:tbl>
    <w:p/>
    <w:p/>
    <w:p/>
    <w:p/>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br w:type="page"/>
      </w:r>
    </w:p>
    <w:p>
      <w:pPr>
        <w:widowControl w:val="0"/>
        <w:numPr>
          <w:ilvl w:val="0"/>
          <w:numId w:val="0"/>
        </w:numPr>
        <w:ind w:firstLine="6746" w:firstLineChars="3200"/>
        <w:jc w:val="both"/>
      </w:pPr>
      <w:r>
        <w:rPr>
          <w:rFonts w:hint="eastAsia" w:ascii="宋体" w:hAnsi="宋体" w:eastAsia="宋体" w:cs="宋体"/>
          <w:b/>
          <w:bCs/>
          <w:sz w:val="21"/>
          <w:szCs w:val="21"/>
          <w:lang w:val="en-US" w:eastAsia="zh-CN"/>
        </w:rPr>
        <w:t>表二：进口医疗器械注册证</w:t>
      </w:r>
    </w:p>
    <w:tbl>
      <w:tblPr>
        <w:tblStyle w:val="6"/>
        <w:tblW w:w="15682"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2"/>
        <w:gridCol w:w="740"/>
        <w:gridCol w:w="2797"/>
        <w:gridCol w:w="4483"/>
        <w:gridCol w:w="2130"/>
        <w:gridCol w:w="3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名称</w:t>
            </w:r>
          </w:p>
        </w:tc>
        <w:tc>
          <w:tcPr>
            <w:tcW w:w="740" w:type="dxa"/>
            <w:vAlign w:val="center"/>
          </w:tcPr>
          <w:p>
            <w:pPr>
              <w:widowControl w:val="0"/>
              <w:numPr>
                <w:ilvl w:val="0"/>
                <w:numId w:val="0"/>
              </w:numPr>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类别</w:t>
            </w:r>
          </w:p>
        </w:tc>
        <w:tc>
          <w:tcPr>
            <w:tcW w:w="2797"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注册证号/注册人名称</w:t>
            </w:r>
          </w:p>
        </w:tc>
        <w:tc>
          <w:tcPr>
            <w:tcW w:w="4483"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结构组成</w:t>
            </w:r>
          </w:p>
        </w:tc>
        <w:tc>
          <w:tcPr>
            <w:tcW w:w="2130"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规格型号</w:t>
            </w:r>
          </w:p>
        </w:tc>
        <w:tc>
          <w:tcPr>
            <w:tcW w:w="3540"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rPr>
              <w:t>适用范围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脊柱和创伤手术导航系统Spine and Trauma Treatment Guidance System</w:t>
            </w:r>
          </w:p>
        </w:tc>
        <w:tc>
          <w:tcPr>
            <w:tcW w:w="740" w:type="dxa"/>
            <w:vAlign w:val="center"/>
          </w:tcPr>
          <w:p>
            <w:pPr>
              <w:widowControl w:val="0"/>
              <w:numPr>
                <w:ilvl w:val="0"/>
                <w:numId w:val="0"/>
              </w:numPr>
              <w:ind w:left="0" w:leftChars="0" w:firstLine="0" w:firstLineChars="0"/>
              <w:jc w:val="both"/>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国械注进20173546223（</w:t>
            </w:r>
            <w:r>
              <w:rPr>
                <w:rFonts w:hint="eastAsia" w:ascii="宋体" w:hAnsi="宋体" w:eastAsia="宋体" w:cs="宋体"/>
                <w:sz w:val="21"/>
                <w:szCs w:val="21"/>
                <w:lang w:val="en-US" w:eastAsia="zh-CN"/>
              </w:rPr>
              <w:t>批准时间：2017-07-10</w:t>
            </w:r>
            <w:r>
              <w:rPr>
                <w:rFonts w:hint="eastAsia" w:ascii="宋体" w:hAnsi="宋体" w:eastAsia="宋体" w:cs="宋体"/>
                <w:sz w:val="21"/>
                <w:szCs w:val="21"/>
                <w:lang w:eastAsia="zh-CN"/>
              </w:rPr>
              <w:t>）</w:t>
            </w:r>
          </w:p>
          <w:p>
            <w:pPr>
              <w:widowControl w:val="0"/>
              <w:numPr>
                <w:ilvl w:val="0"/>
                <w:numId w:val="0"/>
              </w:numPr>
              <w:jc w:val="both"/>
              <w:rPr>
                <w:rFonts w:hint="eastAsia" w:ascii="宋体" w:hAnsi="宋体" w:eastAsia="宋体" w:cs="宋体"/>
                <w:sz w:val="21"/>
                <w:szCs w:val="21"/>
                <w:lang w:eastAsia="zh-CN"/>
              </w:rPr>
            </w:pPr>
          </w:p>
          <w:p>
            <w:pPr>
              <w:widowControl w:val="0"/>
              <w:numPr>
                <w:ilvl w:val="0"/>
                <w:numId w:val="0"/>
              </w:numPr>
              <w:ind w:left="0" w:leftChars="0" w:firstLine="0" w:firstLineChars="0"/>
              <w:jc w:val="both"/>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注册人名称：Medtronic Navigation Inc.</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由导航主机台车、导航接口单元（包含导航继电单元和红外定位系统）、电磁定位系统、显示屏、吊臂接口、导航软件、导航手术工具及配件组成，部件清单详见附页。</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I7 (Spine and Trauma)</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用于脊柱和创伤开放或经皮手术过程中对解剖结构进行光学或电磁定位。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脊柱外科手术导航定位系统Spine Surgical Navigation and Positioning System</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国械注进20213010107（</w:t>
            </w:r>
            <w:r>
              <w:rPr>
                <w:rFonts w:hint="eastAsia" w:ascii="宋体" w:hAnsi="宋体" w:eastAsia="宋体" w:cs="宋体"/>
                <w:sz w:val="21"/>
                <w:szCs w:val="21"/>
                <w:lang w:val="en-US" w:eastAsia="zh-CN"/>
              </w:rPr>
              <w:t>批准时间：</w:t>
            </w:r>
            <w:r>
              <w:rPr>
                <w:rFonts w:hint="eastAsia" w:ascii="宋体" w:hAnsi="宋体" w:eastAsia="宋体" w:cs="宋体"/>
                <w:sz w:val="21"/>
                <w:szCs w:val="21"/>
              </w:rPr>
              <w:t>20</w:t>
            </w:r>
            <w:r>
              <w:rPr>
                <w:rFonts w:hint="eastAsia" w:ascii="宋体" w:hAnsi="宋体" w:eastAsia="宋体" w:cs="宋体"/>
                <w:sz w:val="21"/>
                <w:szCs w:val="21"/>
                <w:lang w:val="en-US" w:eastAsia="zh-CN"/>
              </w:rPr>
              <w:t>21</w:t>
            </w:r>
            <w:r>
              <w:rPr>
                <w:rFonts w:hint="eastAsia" w:ascii="宋体" w:hAnsi="宋体" w:eastAsia="宋体" w:cs="宋体"/>
                <w:sz w:val="21"/>
                <w:szCs w:val="21"/>
              </w:rPr>
              <w:t>-</w:t>
            </w:r>
            <w:r>
              <w:rPr>
                <w:rFonts w:hint="eastAsia" w:ascii="宋体" w:hAnsi="宋体" w:eastAsia="宋体" w:cs="宋体"/>
                <w:sz w:val="21"/>
                <w:szCs w:val="21"/>
                <w:lang w:val="en-US" w:eastAsia="zh-CN"/>
              </w:rPr>
              <w:t>04</w:t>
            </w:r>
            <w:r>
              <w:rPr>
                <w:rFonts w:hint="eastAsia" w:ascii="宋体" w:hAnsi="宋体" w:eastAsia="宋体" w:cs="宋体"/>
                <w:sz w:val="21"/>
                <w:szCs w:val="21"/>
              </w:rPr>
              <w:t>-</w:t>
            </w:r>
            <w:r>
              <w:rPr>
                <w:rFonts w:hint="eastAsia" w:ascii="宋体" w:hAnsi="宋体" w:eastAsia="宋体" w:cs="宋体"/>
                <w:sz w:val="21"/>
                <w:szCs w:val="21"/>
                <w:lang w:val="en-US" w:eastAsia="zh-CN"/>
              </w:rPr>
              <w:t>14</w:t>
            </w:r>
            <w:r>
              <w:rPr>
                <w:rFonts w:hint="eastAsia" w:ascii="宋体" w:hAnsi="宋体" w:eastAsia="宋体" w:cs="宋体"/>
                <w:sz w:val="21"/>
                <w:szCs w:val="21"/>
                <w:lang w:eastAsia="zh-CN"/>
              </w:rPr>
              <w:t>）</w:t>
            </w:r>
          </w:p>
          <w:p>
            <w:pPr>
              <w:widowControl w:val="0"/>
              <w:numPr>
                <w:ilvl w:val="0"/>
                <w:numId w:val="0"/>
              </w:numPr>
              <w:jc w:val="both"/>
              <w:rPr>
                <w:rFonts w:hint="eastAsia" w:ascii="宋体" w:hAnsi="宋体" w:eastAsia="宋体" w:cs="宋体"/>
                <w:sz w:val="21"/>
                <w:szCs w:val="21"/>
                <w:lang w:eastAsia="zh-CN"/>
              </w:rPr>
            </w:pPr>
          </w:p>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注册人名称：美智睿机器人科技有限公司 Mazor Robotics Ltd.</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该产品由Mazor X导航摄像台车、Mazor X Stealth Edition应用软件、Mazor X系统、手术辅助套件、耗材套件组成，详见附页。</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Mazor X Stealth Edition</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该产品在脊柱外科开放或微创手术中，用于辅助手术工具和植入物的导航和定位。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脊柱外科手术定位系统Surgical Positioning System</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国械注进20193012434</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批准时间：2019-10-31</w:t>
            </w:r>
            <w:r>
              <w:rPr>
                <w:rFonts w:hint="eastAsia" w:ascii="宋体" w:hAnsi="宋体" w:eastAsia="宋体" w:cs="宋体"/>
                <w:sz w:val="21"/>
                <w:szCs w:val="21"/>
                <w:lang w:eastAsia="zh-CN"/>
              </w:rPr>
              <w:t>）</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注册人名称：迈梭机器人科技有限公司Mazor Robotics Ltd.</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该产品由主机、附件和手术器械组成，详见附页。</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Renaissance</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该产品临床适用于普通脊柱外科手术中外科手术器械或植入物的定位，包括开放式手术和经皮手术。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脑外科与脊柱外科手术导航定位系统Computer assisted surgical device</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国械注进20193010642（</w:t>
            </w:r>
            <w:r>
              <w:rPr>
                <w:rFonts w:hint="eastAsia" w:ascii="宋体" w:hAnsi="宋体" w:eastAsia="宋体" w:cs="宋体"/>
                <w:sz w:val="21"/>
                <w:szCs w:val="21"/>
                <w:lang w:val="en-US" w:eastAsia="zh-CN"/>
              </w:rPr>
              <w:t>批准时间：2019-12-23</w:t>
            </w:r>
            <w:r>
              <w:rPr>
                <w:rFonts w:hint="eastAsia" w:ascii="宋体" w:hAnsi="宋体" w:eastAsia="宋体" w:cs="宋体"/>
                <w:sz w:val="21"/>
                <w:szCs w:val="21"/>
                <w:lang w:eastAsia="zh-CN"/>
              </w:rPr>
              <w:t>）</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注册人名称：MEDTECH S.A.</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由机器臂基座、摄像机基座、脚踏开关、导航工具及配件组成，详见附页。</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ROSA One</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用于在脑外科和脊柱外科手术中实现手术器械的定位。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骨科手术导航系统Stryker Navigation System for Computer Assisted Surgery</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ind w:left="0" w:leftChars="0" w:firstLine="0" w:firstLineChars="0"/>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国械注进</w:t>
            </w:r>
            <w:r>
              <w:rPr>
                <w:rFonts w:hint="eastAsia" w:ascii="宋体" w:hAnsi="宋体" w:eastAsia="宋体" w:cs="宋体"/>
                <w:sz w:val="21"/>
                <w:szCs w:val="21"/>
              </w:rPr>
              <w:t>20163010600</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批准时间：2020-12-15</w:t>
            </w:r>
            <w:r>
              <w:rPr>
                <w:rFonts w:hint="eastAsia" w:ascii="宋体" w:hAnsi="宋体" w:eastAsia="宋体" w:cs="宋体"/>
                <w:sz w:val="21"/>
                <w:szCs w:val="21"/>
                <w:lang w:eastAsia="zh-CN"/>
              </w:rPr>
              <w:t>）</w:t>
            </w:r>
          </w:p>
          <w:p>
            <w:pPr>
              <w:widowControl w:val="0"/>
              <w:numPr>
                <w:ilvl w:val="0"/>
                <w:numId w:val="0"/>
              </w:numPr>
              <w:ind w:left="0" w:leftChars="0" w:firstLine="0" w:firstLineChars="0"/>
              <w:jc w:val="both"/>
              <w:rPr>
                <w:rFonts w:hint="eastAsia" w:ascii="宋体" w:hAnsi="宋体" w:eastAsia="宋体" w:cs="宋体"/>
                <w:sz w:val="21"/>
                <w:szCs w:val="21"/>
                <w:lang w:eastAsia="zh-CN"/>
              </w:rPr>
            </w:pPr>
          </w:p>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注册人名称：</w:t>
            </w:r>
            <w:r>
              <w:rPr>
                <w:rFonts w:hint="eastAsia" w:ascii="宋体" w:hAnsi="宋体" w:eastAsia="宋体" w:cs="宋体"/>
                <w:sz w:val="21"/>
                <w:szCs w:val="21"/>
              </w:rPr>
              <w:t>德国史赛克莱宾格股份两合公司Stryker Leibinger GmbH &amp; Co.KG</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由工作平台、软件(SpineMap 3D 2. 0, OrthoMap Precision Knee 5. 0, OrthoMap Express Knee 2.0, OrthoMap 3D 2.0, FluoroMap 1.0, OrthoMap Versatile Hip 2.0)、指引器、追踪器、校准装置、适配器组成</w:t>
            </w:r>
            <w:r>
              <w:rPr>
                <w:rFonts w:hint="eastAsia" w:ascii="宋体" w:hAnsi="宋体" w:eastAsia="宋体" w:cs="宋体"/>
                <w:sz w:val="21"/>
                <w:szCs w:val="21"/>
                <w:lang w:eastAsia="zh-CN"/>
              </w:rPr>
              <w:t>。</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NAV3 (骨科）</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用于脊柱手术、膝关节手术、骨肿瘤手术、骨科植入手术、髋关节手术的导航定位。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骨科手术导航系统Robotic Arm Interactive Orthopedic System</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ind w:left="0" w:leftChars="0" w:firstLine="0" w:firstLineChars="0"/>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国械注进</w:t>
            </w:r>
            <w:r>
              <w:rPr>
                <w:rFonts w:hint="eastAsia" w:ascii="宋体" w:hAnsi="宋体" w:eastAsia="宋体" w:cs="宋体"/>
                <w:sz w:val="21"/>
                <w:szCs w:val="21"/>
              </w:rPr>
              <w:t>20143015526</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批准时间：2021-12-24</w:t>
            </w:r>
            <w:r>
              <w:rPr>
                <w:rFonts w:hint="eastAsia" w:ascii="宋体" w:hAnsi="宋体" w:eastAsia="宋体" w:cs="宋体"/>
                <w:sz w:val="21"/>
                <w:szCs w:val="21"/>
                <w:lang w:eastAsia="zh-CN"/>
              </w:rPr>
              <w:t>）</w:t>
            </w:r>
          </w:p>
          <w:p>
            <w:pPr>
              <w:widowControl w:val="0"/>
              <w:numPr>
                <w:ilvl w:val="0"/>
                <w:numId w:val="0"/>
              </w:numPr>
              <w:ind w:left="0" w:leftChars="0" w:firstLine="0" w:firstLineChars="0"/>
              <w:jc w:val="both"/>
              <w:rPr>
                <w:rFonts w:hint="eastAsia" w:ascii="宋体" w:hAnsi="宋体" w:eastAsia="宋体" w:cs="宋体"/>
                <w:sz w:val="21"/>
                <w:szCs w:val="21"/>
                <w:lang w:eastAsia="zh-CN"/>
              </w:rPr>
            </w:pPr>
          </w:p>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注册人名称：</w:t>
            </w:r>
            <w:r>
              <w:rPr>
                <w:rFonts w:hint="eastAsia" w:ascii="宋体" w:hAnsi="宋体" w:eastAsia="宋体" w:cs="宋体"/>
                <w:sz w:val="21"/>
                <w:szCs w:val="21"/>
              </w:rPr>
              <w:t>史赛克(北京)医疗器械有限公司</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RIO（系统版本3.0）</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本产品仅与经过验证的且经中国批准上市的骨科植入系统和手术工具联合使用， 辅助外科医生进行膝关节和髋关节手术，包括单髁膝关节置换手术、髌股骨膝关节置换手术、全髋关节置换手术和全膝关节置换手术。</w:t>
            </w:r>
          </w:p>
        </w:tc>
      </w:tr>
    </w:tbl>
    <w:p>
      <w:r>
        <w:drawing>
          <wp:inline distT="0" distB="0" distL="114300" distR="114300">
            <wp:extent cx="9965055" cy="2723515"/>
            <wp:effectExtent l="0" t="0" r="171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9965055" cy="2723515"/>
                    </a:xfrm>
                    <a:prstGeom prst="rect">
                      <a:avLst/>
                    </a:prstGeom>
                    <a:noFill/>
                    <a:ln>
                      <a:noFill/>
                    </a:ln>
                  </pic:spPr>
                </pic:pic>
              </a:graphicData>
            </a:graphic>
          </wp:inline>
        </w:drawing>
      </w:r>
    </w:p>
    <w:p/>
    <w:p/>
    <w:p/>
    <w:p>
      <w:r>
        <w:drawing>
          <wp:inline distT="0" distB="0" distL="114300" distR="114300">
            <wp:extent cx="9964420" cy="2527300"/>
            <wp:effectExtent l="0" t="0" r="177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9964420" cy="2527300"/>
                    </a:xfrm>
                    <a:prstGeom prst="rect">
                      <a:avLst/>
                    </a:prstGeom>
                    <a:noFill/>
                    <a:ln>
                      <a:noFill/>
                    </a:ln>
                  </pic:spPr>
                </pic:pic>
              </a:graphicData>
            </a:graphic>
          </wp:inline>
        </w:drawing>
      </w:r>
    </w:p>
    <w:p>
      <w:r>
        <w:drawing>
          <wp:inline distT="0" distB="0" distL="114300" distR="114300">
            <wp:extent cx="9963785" cy="2654300"/>
            <wp:effectExtent l="0" t="0" r="1841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9963785" cy="2654300"/>
                    </a:xfrm>
                    <a:prstGeom prst="rect">
                      <a:avLst/>
                    </a:prstGeom>
                    <a:noFill/>
                    <a:ln>
                      <a:noFill/>
                    </a:ln>
                  </pic:spPr>
                </pic:pic>
              </a:graphicData>
            </a:graphic>
          </wp:inline>
        </w:drawing>
      </w:r>
    </w:p>
    <w:p/>
    <w:p>
      <w:r>
        <w:drawing>
          <wp:inline distT="0" distB="0" distL="114300" distR="114300">
            <wp:extent cx="9966325" cy="2938145"/>
            <wp:effectExtent l="0" t="0" r="1587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9966325" cy="2938145"/>
                    </a:xfrm>
                    <a:prstGeom prst="rect">
                      <a:avLst/>
                    </a:prstGeom>
                    <a:noFill/>
                    <a:ln>
                      <a:noFill/>
                    </a:ln>
                  </pic:spPr>
                </pic:pic>
              </a:graphicData>
            </a:graphic>
          </wp:inline>
        </w:drawing>
      </w:r>
    </w:p>
    <w:p/>
    <w:p/>
    <w:p/>
    <w:p/>
    <w:p/>
    <w:p/>
    <w:p/>
    <w:p/>
    <w:p/>
    <w:p/>
    <w:p/>
    <w:p/>
    <w:p/>
    <w:p/>
    <w:p/>
    <w:p>
      <w:pPr>
        <w:widowControl w:val="0"/>
        <w:numPr>
          <w:ilvl w:val="0"/>
          <w:numId w:val="1"/>
        </w:numPr>
        <w:jc w:val="both"/>
        <w:outlineLvl w:val="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产品适用法律法规、标准</w:t>
      </w:r>
    </w:p>
    <w:p>
      <w:pPr>
        <w:widowControl w:val="0"/>
        <w:numPr>
          <w:ilvl w:val="0"/>
          <w:numId w:val="0"/>
        </w:numPr>
        <w:jc w:val="both"/>
        <w:rPr>
          <w:rFonts w:hint="eastAsia" w:ascii="宋体" w:hAnsi="宋体" w:eastAsia="宋体" w:cs="宋体"/>
          <w:b/>
          <w:bCs/>
          <w:sz w:val="21"/>
          <w:szCs w:val="21"/>
          <w:lang w:val="en-US" w:eastAsia="zh-CN"/>
        </w:rPr>
      </w:pPr>
    </w:p>
    <w:p>
      <w:pPr>
        <w:numPr>
          <w:ilvl w:val="0"/>
          <w:numId w:val="3"/>
        </w:numPr>
        <w:ind w:left="420" w:leftChars="0" w:hanging="420" w:firstLineChars="0"/>
        <w:outlineLvl w:val="1"/>
        <w:rPr>
          <w:rFonts w:hint="default"/>
          <w:b/>
          <w:bCs/>
          <w:color w:val="auto"/>
          <w:sz w:val="21"/>
          <w:szCs w:val="21"/>
          <w:lang w:val="en-US" w:eastAsia="zh-CN"/>
        </w:rPr>
      </w:pPr>
      <w:r>
        <w:rPr>
          <w:rFonts w:hint="eastAsia"/>
          <w:b/>
          <w:bCs/>
          <w:color w:val="auto"/>
          <w:sz w:val="21"/>
          <w:szCs w:val="21"/>
          <w:lang w:val="en-US" w:eastAsia="zh-CN"/>
        </w:rPr>
        <w:t>注册部</w:t>
      </w:r>
    </w:p>
    <w:p>
      <w:pPr>
        <w:numPr>
          <w:ilvl w:val="0"/>
          <w:numId w:val="4"/>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指导原则</w:t>
      </w:r>
    </w:p>
    <w:p>
      <w:pPr>
        <w:widowControl w:val="0"/>
        <w:numPr>
          <w:ilvl w:val="0"/>
          <w:numId w:val="5"/>
        </w:numPr>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《医疗器械软件注册审查指导原则》（2022年第9号</w:t>
      </w:r>
      <w:r>
        <w:rPr>
          <w:rFonts w:hint="default"/>
          <w:color w:val="auto"/>
          <w:lang w:val="en-US" w:eastAsia="zh-CN"/>
        </w:rPr>
        <w:t>通告附件</w:t>
      </w:r>
      <w:r>
        <w:rPr>
          <w:rFonts w:hint="eastAsia"/>
          <w:color w:val="auto"/>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医疗器械产品技术要求编写指导原则</w:t>
      </w:r>
      <w:r>
        <w:rPr>
          <w:rFonts w:hint="eastAsia"/>
          <w:color w:val="auto"/>
          <w:lang w:val="en-US" w:eastAsia="zh-CN"/>
        </w:rPr>
        <w:t>》（</w:t>
      </w:r>
      <w:r>
        <w:rPr>
          <w:rFonts w:hint="default"/>
          <w:color w:val="auto"/>
          <w:lang w:val="en-US" w:eastAsia="zh-CN"/>
        </w:rPr>
        <w:t>2022年第8号通告附件</w:t>
      </w:r>
      <w:r>
        <w:rPr>
          <w:rFonts w:hint="eastAsia"/>
          <w:color w:val="auto"/>
          <w:lang w:val="en-US" w:eastAsia="zh-CN"/>
        </w:rPr>
        <w:t>）</w:t>
      </w:r>
      <w:r>
        <w:rPr>
          <w:rFonts w:hint="default"/>
          <w:color w:val="auto"/>
          <w:lang w:val="en-US" w:eastAsia="zh-CN"/>
        </w:rPr>
        <w:t xml:space="preserve"> </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医疗器械网络安全注册审查指导原则</w:t>
      </w:r>
      <w:r>
        <w:rPr>
          <w:rFonts w:hint="eastAsia"/>
          <w:color w:val="auto"/>
          <w:lang w:val="en-US" w:eastAsia="zh-CN"/>
        </w:rPr>
        <w:t>》</w:t>
      </w:r>
      <w:r>
        <w:rPr>
          <w:rFonts w:hint="default"/>
          <w:color w:val="auto"/>
          <w:lang w:val="en-US" w:eastAsia="zh-CN"/>
        </w:rPr>
        <w:t>（2022年修订版）</w:t>
      </w:r>
      <w:r>
        <w:rPr>
          <w:rFonts w:hint="eastAsia"/>
          <w:color w:val="auto"/>
          <w:lang w:val="en-US" w:eastAsia="zh-CN"/>
        </w:rPr>
        <w:t>（</w:t>
      </w:r>
      <w:r>
        <w:rPr>
          <w:rFonts w:hint="default"/>
          <w:color w:val="auto"/>
          <w:lang w:val="en-US" w:eastAsia="zh-CN"/>
        </w:rPr>
        <w:t>国家药监局器审中心2022年第7号附件</w:t>
      </w:r>
      <w:r>
        <w:rPr>
          <w:rFonts w:hint="eastAsia"/>
          <w:color w:val="auto"/>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w:t>
      </w:r>
      <w:r>
        <w:rPr>
          <w:rFonts w:hint="default"/>
          <w:color w:val="auto"/>
          <w:lang w:val="en-US" w:eastAsia="zh-CN"/>
        </w:rPr>
        <w:t>医用软件通用名称命名指导原则</w:t>
      </w:r>
      <w:r>
        <w:rPr>
          <w:rFonts w:hint="eastAsia"/>
          <w:color w:val="auto"/>
          <w:lang w:val="en-US" w:eastAsia="zh-CN"/>
        </w:rPr>
        <w:t>》（</w:t>
      </w:r>
      <w:r>
        <w:rPr>
          <w:rFonts w:hint="default"/>
          <w:color w:val="auto"/>
          <w:lang w:val="en-US" w:eastAsia="zh-CN"/>
        </w:rPr>
        <w:t>2021年第48号通告</w:t>
      </w:r>
      <w:r>
        <w:rPr>
          <w:rFonts w:hint="eastAsia"/>
          <w:color w:val="auto"/>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《医疗器械临床评价技术指导原则》（2021年第73号）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《医疗器械临床评价等同性论证技术指导原则》（2021年第73号）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《医疗器械注册申报临床评价报告技术指导原则》（2021年第73号）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fldChar w:fldCharType="begin"/>
      </w:r>
      <w:r>
        <w:rPr>
          <w:rFonts w:hint="default"/>
          <w:color w:val="auto"/>
          <w:lang w:val="en-US" w:eastAsia="zh-CN"/>
        </w:rPr>
        <w:instrText xml:space="preserve"> HYPERLINK "https://www.cmde.org.cn/CL0112/24523.html" \t "https://www.cmde.org.cn/CL0009/_blank" </w:instrText>
      </w:r>
      <w:r>
        <w:rPr>
          <w:rFonts w:hint="default"/>
          <w:color w:val="auto"/>
          <w:lang w:val="en-US" w:eastAsia="zh-CN"/>
        </w:rPr>
        <w:fldChar w:fldCharType="separate"/>
      </w:r>
      <w:r>
        <w:rPr>
          <w:rFonts w:hint="default"/>
          <w:color w:val="auto"/>
          <w:lang w:val="en-US" w:eastAsia="zh-CN"/>
        </w:rPr>
        <w:t>医疗器械临床试验数据递交要求注册审查指导原则》（2021年第91号）</w:t>
      </w:r>
      <w:r>
        <w:rPr>
          <w:rFonts w:hint="default"/>
          <w:color w:val="auto"/>
          <w:lang w:val="en-US" w:eastAsia="zh-CN"/>
        </w:rPr>
        <w:fldChar w:fldCharType="end"/>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highlight w:val="none"/>
          <w:lang w:val="en-US" w:eastAsia="zh-CN"/>
        </w:rPr>
        <w:t>《</w:t>
      </w:r>
      <w:r>
        <w:rPr>
          <w:rFonts w:hint="default"/>
          <w:color w:val="auto"/>
          <w:highlight w:val="none"/>
          <w:lang w:val="en-US" w:eastAsia="zh-CN"/>
        </w:rPr>
        <w:t>医疗器械注册人开展产品不良事件风险评价指导原则</w:t>
      </w:r>
      <w:r>
        <w:rPr>
          <w:rFonts w:hint="eastAsia"/>
          <w:color w:val="auto"/>
          <w:highlight w:val="none"/>
          <w:lang w:val="en-US" w:eastAsia="zh-CN"/>
        </w:rPr>
        <w:t>》</w:t>
      </w:r>
      <w:r>
        <w:rPr>
          <w:rFonts w:hint="default"/>
          <w:color w:val="auto"/>
          <w:highlight w:val="none"/>
          <w:lang w:val="en-US" w:eastAsia="zh-CN"/>
        </w:rPr>
        <w:t>（2020年第78号）</w:t>
      </w:r>
    </w:p>
    <w:p>
      <w:pPr>
        <w:widowControl w:val="0"/>
        <w:numPr>
          <w:ilvl w:val="0"/>
          <w:numId w:val="5"/>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人工智能医疗器械注册审查指导原则</w:t>
      </w:r>
      <w:r>
        <w:rPr>
          <w:rFonts w:hint="eastAsia"/>
          <w:color w:val="auto"/>
          <w:lang w:val="en-US" w:eastAsia="zh-CN"/>
        </w:rPr>
        <w:t>》（</w:t>
      </w:r>
      <w:r>
        <w:rPr>
          <w:rFonts w:hint="default"/>
          <w:color w:val="auto"/>
          <w:lang w:val="en-US" w:eastAsia="zh-CN"/>
        </w:rPr>
        <w:t>国家药监局器审中心2022年第8号附件</w:t>
      </w:r>
      <w:r>
        <w:rPr>
          <w:rFonts w:hint="eastAsia"/>
          <w:color w:val="auto"/>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fldChar w:fldCharType="begin"/>
      </w:r>
      <w:r>
        <w:rPr>
          <w:rFonts w:hint="default"/>
          <w:color w:val="auto"/>
          <w:lang w:val="en-US" w:eastAsia="zh-CN"/>
        </w:rPr>
        <w:instrText xml:space="preserve"> HYPERLINK "https://www.nmpa.gov.cn/xxgk/ggtg/qtggtg/20171229134501986.html" \o "总局关于发布移动医疗器械注册技术审查指导原则的通告（2017年第222号）" \t "https://www.nmpa.gov.cn/so/_blank" </w:instrText>
      </w:r>
      <w:r>
        <w:rPr>
          <w:rFonts w:hint="default"/>
          <w:color w:val="auto"/>
          <w:lang w:val="en-US" w:eastAsia="zh-CN"/>
        </w:rPr>
        <w:fldChar w:fldCharType="separate"/>
      </w:r>
      <w:r>
        <w:rPr>
          <w:rFonts w:hint="default"/>
          <w:color w:val="auto"/>
          <w:lang w:val="en-US" w:eastAsia="zh-CN"/>
        </w:rPr>
        <w:t>移动医疗器械注册技术审查指导原则</w:t>
      </w:r>
      <w:r>
        <w:rPr>
          <w:rFonts w:hint="eastAsia"/>
          <w:color w:val="auto"/>
          <w:lang w:val="en-US" w:eastAsia="zh-CN"/>
        </w:rPr>
        <w:t>》</w:t>
      </w:r>
      <w:r>
        <w:rPr>
          <w:rFonts w:hint="default"/>
          <w:color w:val="auto"/>
          <w:lang w:val="en-US" w:eastAsia="zh-CN"/>
        </w:rPr>
        <w:t>（2017年第222号）</w:t>
      </w:r>
      <w:r>
        <w:rPr>
          <w:rFonts w:hint="default"/>
          <w:color w:val="auto"/>
          <w:lang w:val="en-US" w:eastAsia="zh-CN"/>
        </w:rPr>
        <w:fldChar w:fldCharType="end"/>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《决策是否开展医疗器械临床试验技术指导原则》（2021年第73号）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医疗器械人因设计技术审查指导原则（征求意见稿）</w:t>
      </w:r>
      <w:r>
        <w:rPr>
          <w:rFonts w:hint="eastAsia"/>
          <w:color w:val="auto"/>
          <w:lang w:val="en-US" w:eastAsia="zh-CN"/>
        </w:rPr>
        <w:t>》（2020.5.17）</w:t>
      </w:r>
    </w:p>
    <w:p>
      <w:pPr>
        <w:widowControl w:val="0"/>
        <w:numPr>
          <w:ilvl w:val="0"/>
          <w:numId w:val="5"/>
        </w:numPr>
        <w:ind w:left="0" w:leftChars="0" w:firstLine="0" w:firstLineChars="0"/>
        <w:jc w:val="both"/>
        <w:rPr>
          <w:rFonts w:hint="eastAsia"/>
          <w:color w:val="auto"/>
          <w:lang w:val="en-US" w:eastAsia="zh-CN"/>
        </w:rPr>
      </w:pPr>
      <w:r>
        <w:rPr>
          <w:rFonts w:hint="eastAsia"/>
          <w:color w:val="auto"/>
          <w:lang w:val="en-US" w:eastAsia="zh-CN"/>
        </w:rPr>
        <w:t>了解</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《人工智能医用软件产品分类界定指导原则》（2021年第47号）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《真实世界数据用于医疗器械临床评价技术指导原则（试行）》（2020年第77号）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《医疗器械注册单元划分指导原则》（2017年第187号）</w:t>
      </w:r>
    </w:p>
    <w:p>
      <w:pPr>
        <w:numPr>
          <w:ilvl w:val="0"/>
          <w:numId w:val="4"/>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法规文件</w:t>
      </w:r>
    </w:p>
    <w:p>
      <w:pPr>
        <w:numPr>
          <w:ilvl w:val="0"/>
          <w:numId w:val="0"/>
        </w:numPr>
        <w:tabs>
          <w:tab w:val="left" w:pos="3360"/>
        </w:tabs>
        <w:ind w:leftChars="0"/>
        <w:jc w:val="both"/>
        <w:rPr>
          <w:rFonts w:hint="eastAsia"/>
          <w:color w:val="auto"/>
          <w:lang w:val="en-US" w:eastAsia="zh-CN"/>
        </w:rPr>
      </w:pPr>
    </w:p>
    <w:p>
      <w:pPr>
        <w:widowControl w:val="0"/>
        <w:numPr>
          <w:ilvl w:val="0"/>
          <w:numId w:val="7"/>
        </w:numPr>
        <w:ind w:left="0" w:leftChars="0" w:firstLine="0" w:firstLineChars="0"/>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《医疗器械监督管理条例》</w:t>
      </w:r>
      <w:r>
        <w:rPr>
          <w:rFonts w:hint="eastAsia"/>
          <w:color w:val="auto"/>
          <w:lang w:val="en-US" w:eastAsia="zh-CN"/>
        </w:rPr>
        <w:t>（</w:t>
      </w:r>
      <w:r>
        <w:rPr>
          <w:rFonts w:hint="default"/>
          <w:color w:val="auto"/>
          <w:lang w:val="en-US" w:eastAsia="zh-CN"/>
        </w:rPr>
        <w:t>国务院令第739号</w:t>
      </w:r>
      <w:r>
        <w:rPr>
          <w:rFonts w:hint="eastAsia"/>
          <w:color w:val="auto"/>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《医疗器械注册与备案管理办法》</w:t>
      </w:r>
      <w:r>
        <w:rPr>
          <w:rFonts w:hint="eastAsia"/>
          <w:color w:val="auto"/>
          <w:lang w:val="en-US" w:eastAsia="zh-CN"/>
        </w:rPr>
        <w:t>（</w:t>
      </w:r>
      <w:r>
        <w:rPr>
          <w:rFonts w:hint="default"/>
          <w:color w:val="auto"/>
          <w:lang w:val="en-US" w:eastAsia="zh-CN"/>
        </w:rPr>
        <w:t>国家市场监督管理总局令第47号</w:t>
      </w:r>
      <w:r>
        <w:rPr>
          <w:rFonts w:hint="eastAsia"/>
          <w:color w:val="auto"/>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《医疗器械生产监督管理办法》（总局令第7号）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《医疗器械生产质量管理规范》（2014年第64号）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《医疗器械临床试验质量管理规范》的公告（2022年第28号）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《医疗器械生产质量管理规范附录独立软件》（2019年第43号）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eastAsia"/>
          <w:color w:val="auto"/>
          <w:lang w:val="en-US" w:eastAsia="zh-CN"/>
        </w:rPr>
      </w:pPr>
      <w:r>
        <w:rPr>
          <w:rFonts w:hint="eastAsia"/>
          <w:color w:val="auto"/>
          <w:lang w:val="en-US" w:eastAsia="zh-CN"/>
        </w:rPr>
        <w:t>《医疗器械说明书和标签管理规定》（总局令第6号）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医疗器械注册质量管理体系核查指南</w:t>
      </w:r>
      <w:r>
        <w:rPr>
          <w:rFonts w:hint="eastAsia"/>
          <w:color w:val="auto"/>
          <w:lang w:val="en-US" w:eastAsia="zh-CN"/>
        </w:rPr>
        <w:t>》</w:t>
      </w:r>
      <w:r>
        <w:rPr>
          <w:rFonts w:hint="default"/>
          <w:color w:val="auto"/>
          <w:lang w:val="en-US" w:eastAsia="zh-CN"/>
        </w:rPr>
        <w:t>（2020年 第19号）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医疗器械注册自检管理规定</w:t>
      </w:r>
      <w:r>
        <w:rPr>
          <w:rFonts w:hint="eastAsia"/>
          <w:color w:val="auto"/>
          <w:lang w:val="en-US" w:eastAsia="zh-CN"/>
        </w:rPr>
        <w:t>》</w:t>
      </w:r>
      <w:r>
        <w:rPr>
          <w:rFonts w:hint="default"/>
          <w:color w:val="auto"/>
          <w:lang w:val="en-US" w:eastAsia="zh-CN"/>
        </w:rPr>
        <w:t>（2021年局第126号）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 xml:space="preserve">《国家食品药品监督管理总局关于发布医疗器械生产企业供应商审核指南的通告》（2015年第1号）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《医疗器械不良事件监测和再评价管理办法》（2018年国家市场监督管理总局令第1号）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《医疗器械注册人开展不良事件监测工作指南》（2020年第25号）</w:t>
      </w:r>
    </w:p>
    <w:p>
      <w:pPr>
        <w:widowControl w:val="0"/>
        <w:numPr>
          <w:ilvl w:val="0"/>
          <w:numId w:val="7"/>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《医疗器械唯一标识系统规则的公告》（2019年 第66号）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《医疗器械召回管理办法》（总局令第29号）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《医疗器械注册申报资料要求和批准证明文件格式》（2021年第121号</w:t>
      </w:r>
      <w:r>
        <w:rPr>
          <w:rFonts w:hint="eastAsia"/>
          <w:color w:val="auto"/>
          <w:lang w:val="en-US" w:eastAsia="zh-CN"/>
        </w:rPr>
        <w:t>）</w:t>
      </w:r>
    </w:p>
    <w:p>
      <w:pPr>
        <w:widowControl w:val="0"/>
        <w:numPr>
          <w:ilvl w:val="0"/>
          <w:numId w:val="7"/>
        </w:numPr>
        <w:ind w:left="0" w:leftChars="0" w:firstLine="0" w:firstLineChars="0"/>
        <w:jc w:val="both"/>
        <w:rPr>
          <w:rFonts w:hint="eastAsia"/>
          <w:color w:val="auto"/>
          <w:lang w:val="en-US" w:eastAsia="zh-CN"/>
        </w:rPr>
      </w:pPr>
      <w:r>
        <w:rPr>
          <w:rFonts w:hint="eastAsia"/>
          <w:color w:val="auto"/>
          <w:lang w:val="en-US" w:eastAsia="zh-CN"/>
        </w:rPr>
        <w:t>了解</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highlight w:val="none"/>
          <w:lang w:val="en-US" w:eastAsia="zh-CN"/>
        </w:rPr>
      </w:pPr>
      <w:r>
        <w:rPr>
          <w:rFonts w:hint="eastAsia"/>
          <w:color w:val="auto"/>
          <w:highlight w:val="none"/>
          <w:lang w:val="en-US" w:eastAsia="zh-CN"/>
        </w:rPr>
        <w:t>《</w:t>
      </w:r>
      <w:r>
        <w:rPr>
          <w:rFonts w:hint="default"/>
          <w:color w:val="auto"/>
          <w:highlight w:val="none"/>
          <w:lang w:val="en-US" w:eastAsia="zh-CN"/>
        </w:rPr>
        <w:t>长三角注册人方案通知-沪药监械管</w:t>
      </w:r>
      <w:r>
        <w:rPr>
          <w:rFonts w:hint="eastAsia"/>
          <w:color w:val="auto"/>
          <w:highlight w:val="none"/>
          <w:lang w:val="en-US" w:eastAsia="zh-CN"/>
        </w:rPr>
        <w:t>》（</w:t>
      </w:r>
      <w:r>
        <w:rPr>
          <w:rFonts w:hint="default"/>
          <w:color w:val="auto"/>
          <w:highlight w:val="none"/>
          <w:lang w:val="en-US" w:eastAsia="zh-CN"/>
        </w:rPr>
        <w:t>2019</w:t>
      </w:r>
      <w:r>
        <w:rPr>
          <w:rFonts w:hint="eastAsia"/>
          <w:color w:val="auto"/>
          <w:highlight w:val="none"/>
          <w:lang w:val="en-US" w:eastAsia="zh-CN"/>
        </w:rPr>
        <w:t>年</w:t>
      </w:r>
      <w:r>
        <w:rPr>
          <w:rFonts w:hint="default"/>
          <w:color w:val="auto"/>
          <w:highlight w:val="none"/>
          <w:lang w:val="en-US" w:eastAsia="zh-CN"/>
        </w:rPr>
        <w:t>112号</w:t>
      </w:r>
      <w:r>
        <w:rPr>
          <w:rFonts w:hint="eastAsia"/>
          <w:color w:val="auto"/>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textAlignment w:val="auto"/>
        <w:rPr>
          <w:rFonts w:hint="default"/>
          <w:color w:val="auto"/>
          <w:highlight w:val="none"/>
          <w:lang w:val="en-US" w:eastAsia="zh-CN"/>
        </w:rPr>
      </w:pPr>
    </w:p>
    <w:p>
      <w:pPr>
        <w:numPr>
          <w:ilvl w:val="0"/>
          <w:numId w:val="4"/>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标准</w:t>
      </w:r>
    </w:p>
    <w:p>
      <w:pPr>
        <w:widowControl w:val="0"/>
        <w:numPr>
          <w:ilvl w:val="0"/>
          <w:numId w:val="9"/>
        </w:numPr>
        <w:ind w:left="0" w:leftChars="0" w:firstLine="0" w:firstLineChars="0"/>
        <w:jc w:val="both"/>
        <w:rPr>
          <w:rFonts w:hint="eastAsia"/>
          <w:color w:val="auto"/>
          <w:lang w:val="en-US" w:eastAsia="zh-CN"/>
        </w:rPr>
      </w:pPr>
      <w:r>
        <w:rPr>
          <w:rFonts w:hint="eastAsia"/>
          <w:color w:val="auto"/>
          <w:lang w:val="en-US" w:eastAsia="zh-CN"/>
        </w:rPr>
        <w:t>掌握</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7247.1-2012 《激光产品的安全 第1部分设备分类、要求》</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YY/T 0664-2020 </w:t>
      </w:r>
      <w:r>
        <w:rPr>
          <w:rFonts w:hint="default"/>
          <w:color w:val="auto"/>
          <w:lang w:val="en-US" w:eastAsia="zh-CN"/>
        </w:rPr>
        <w:t>《</w:t>
      </w:r>
      <w:r>
        <w:rPr>
          <w:rFonts w:hint="eastAsia"/>
          <w:color w:val="auto"/>
          <w:lang w:val="en-US" w:eastAsia="zh-CN"/>
        </w:rPr>
        <w:t>医疗器械软件 软件生存周期过程</w:t>
      </w:r>
      <w:r>
        <w:rPr>
          <w:rFonts w:hint="default"/>
          <w:color w:val="auto"/>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GB / T 25000.51-2016 </w:t>
      </w:r>
      <w:r>
        <w:rPr>
          <w:rFonts w:hint="default"/>
          <w:color w:val="auto"/>
          <w:lang w:val="en-US" w:eastAsia="zh-CN"/>
        </w:rPr>
        <w:t>《</w:t>
      </w:r>
      <w:r>
        <w:rPr>
          <w:rFonts w:hint="eastAsia"/>
          <w:color w:val="auto"/>
          <w:lang w:val="en-US" w:eastAsia="zh-CN"/>
        </w:rPr>
        <w:t>系统与软件工程 系统与软件质量要求和评价( SQuaRE )第 51 部分: 就绪可用软件产品( RUSP )的质量要求和测试细则》</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 T 1406.1-2016 </w:t>
      </w:r>
      <w:r>
        <w:rPr>
          <w:rFonts w:hint="default"/>
          <w:color w:val="auto"/>
          <w:lang w:val="en-US" w:eastAsia="zh-CN"/>
        </w:rPr>
        <w:t>《</w:t>
      </w:r>
      <w:r>
        <w:rPr>
          <w:rFonts w:hint="eastAsia"/>
          <w:color w:val="auto"/>
          <w:lang w:val="en-US" w:eastAsia="zh-CN"/>
        </w:rPr>
        <w:t>医疗器械软件 第1部分YY/ T0316应用于医疗器械软件的指南》</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1630—2018 《医疗器械唯一标识基本要求》</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bookmarkStart w:id="0" w:name="OLE_LINK11"/>
      <w:r>
        <w:rPr>
          <w:rFonts w:hint="eastAsia"/>
          <w:color w:val="auto"/>
          <w:lang w:val="en-US" w:eastAsia="zh-CN"/>
        </w:rPr>
        <w:t>YY/T 0287-20</w:t>
      </w:r>
      <w:bookmarkEnd w:id="0"/>
      <w:r>
        <w:rPr>
          <w:rFonts w:hint="eastAsia"/>
          <w:color w:val="auto"/>
          <w:lang w:val="en-US" w:eastAsia="zh-CN"/>
        </w:rPr>
        <w:t xml:space="preserve">17 </w:t>
      </w:r>
      <w:r>
        <w:rPr>
          <w:rFonts w:hint="default"/>
          <w:color w:val="auto"/>
          <w:lang w:val="en-US" w:eastAsia="zh-CN"/>
        </w:rPr>
        <w:t>《</w:t>
      </w:r>
      <w:r>
        <w:rPr>
          <w:rFonts w:hint="eastAsia"/>
          <w:color w:val="auto"/>
          <w:lang w:val="en-US" w:eastAsia="zh-CN"/>
        </w:rPr>
        <w:t>医疗器械质量管理体系用于法规的要求》</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T 0316-2016 《医疗器械 风险管理对医疗器械的应用》</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16886.1-2022 《医疗器械生物学评价第1部分：风险管理过程中的评价与试验》（2023.5.1实施）</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16886.1-2011 《医疗器械生物学评价 第1部分：风险管理过程中的评价与试验》</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16886.5-2017 《医疗器械生物学评价 第5部分：体外细胞毒性试验》</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16886.10-2017 《医疗器械生物学评价第10部分：刺激与皮肤致敏试验》</w:t>
      </w:r>
    </w:p>
    <w:p>
      <w:pPr>
        <w:widowControl w:val="0"/>
        <w:numPr>
          <w:ilvl w:val="0"/>
          <w:numId w:val="9"/>
        </w:numPr>
        <w:ind w:left="0" w:leftChars="0" w:firstLine="0" w:firstLineChars="0"/>
        <w:jc w:val="both"/>
        <w:rPr>
          <w:rFonts w:hint="eastAsia"/>
          <w:color w:val="auto"/>
          <w:lang w:val="en-US" w:eastAsia="zh-CN"/>
        </w:rPr>
      </w:pPr>
      <w:r>
        <w:rPr>
          <w:rFonts w:hint="eastAsia"/>
          <w:color w:val="auto"/>
          <w:lang w:val="en-US" w:eastAsia="zh-CN"/>
        </w:rPr>
        <w:t>熟悉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9706.1-2007 《医用电气设备 第1部分：安全通用要求》</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GB/T 14710-2009 《医用电器环境要求及试验方法》</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0505-2012 《医用电气设备 第1-2部分 安全通用要求并列标准 电磁兼容 要求和试验》</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1057-2016  《医用脚踏开关通用技术条件》</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1474-2016 《医疗器械可用性工程对医疗器械的应用》</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1712-2021 《采用机器人技术的辅助手术设备和辅助手术系统》（2022.10.1实施）</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9706.1-2020 《医用电气设备第1部分：基本安全和基本性能的通用要求》（2023.5.1实施）</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9706.102-2021 《医用电气设备 第1-2部分：基本安全和基本性能的通用要求 并列标准：电磁兼容 要求和试验》的要求（2023.5.1实施）</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T 9706.106-2021</w:t>
      </w:r>
      <w:r>
        <w:rPr>
          <w:rFonts w:hint="eastAsia"/>
          <w:color w:val="auto"/>
          <w:lang w:val="en-US" w:eastAsia="zh-CN"/>
        </w:rPr>
        <w:t>《</w:t>
      </w:r>
      <w:r>
        <w:rPr>
          <w:rFonts w:hint="default"/>
          <w:color w:val="auto"/>
          <w:lang w:val="en-US" w:eastAsia="zh-CN"/>
        </w:rPr>
        <w:t>医用电气设备 第1-6部分：基本安全和基本性能的通用要求 并列标准：可用性</w:t>
      </w:r>
      <w:r>
        <w:rPr>
          <w:rFonts w:hint="eastAsia"/>
          <w:color w:val="auto"/>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 xml:space="preserve"> T 1686-2020 </w:t>
      </w:r>
      <w:r>
        <w:rPr>
          <w:rFonts w:hint="eastAsia"/>
          <w:color w:val="auto"/>
          <w:lang w:val="en-US" w:eastAsia="zh-CN"/>
        </w:rPr>
        <w:t>《</w:t>
      </w:r>
      <w:r>
        <w:rPr>
          <w:rFonts w:hint="default"/>
          <w:color w:val="auto"/>
          <w:lang w:val="en-US" w:eastAsia="zh-CN"/>
        </w:rPr>
        <w:t>采用机器人技术的医用电气设备 分类</w:t>
      </w:r>
      <w:r>
        <w:rPr>
          <w:rFonts w:hint="eastAsia"/>
          <w:color w:val="auto"/>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textAlignment w:val="auto"/>
        <w:rPr>
          <w:rFonts w:hint="eastAsia"/>
          <w:color w:val="auto"/>
          <w:lang w:val="en-US" w:eastAsia="zh-CN"/>
        </w:rPr>
      </w:pPr>
    </w:p>
    <w:p>
      <w:pPr>
        <w:numPr>
          <w:ilvl w:val="0"/>
          <w:numId w:val="3"/>
        </w:numPr>
        <w:ind w:left="420" w:leftChars="0" w:hanging="420" w:firstLineChars="0"/>
        <w:outlineLvl w:val="1"/>
        <w:rPr>
          <w:rFonts w:hint="default"/>
          <w:b/>
          <w:bCs/>
          <w:color w:val="auto"/>
          <w:sz w:val="21"/>
          <w:szCs w:val="21"/>
          <w:lang w:val="en-US" w:eastAsia="zh-CN"/>
        </w:rPr>
      </w:pPr>
      <w:r>
        <w:rPr>
          <w:rFonts w:hint="eastAsia"/>
          <w:b/>
          <w:bCs/>
          <w:color w:val="auto"/>
          <w:sz w:val="21"/>
          <w:szCs w:val="21"/>
          <w:lang w:val="en-US" w:eastAsia="zh-CN"/>
        </w:rPr>
        <w:t>质量部、生产部</w:t>
      </w:r>
    </w:p>
    <w:p>
      <w:pPr>
        <w:numPr>
          <w:ilvl w:val="0"/>
          <w:numId w:val="11"/>
        </w:numPr>
        <w:tabs>
          <w:tab w:val="left" w:pos="3360"/>
        </w:tabs>
        <w:ind w:left="0" w:leftChars="0" w:firstLine="420" w:firstLineChars="0"/>
        <w:jc w:val="center"/>
        <w:outlineLvl w:val="2"/>
        <w:rPr>
          <w:rFonts w:hint="eastAsia"/>
          <w:color w:val="auto"/>
          <w:lang w:val="en-US" w:eastAsia="zh-CN"/>
        </w:rPr>
      </w:pPr>
      <w:r>
        <w:rPr>
          <w:rFonts w:hint="eastAsia"/>
          <w:color w:val="auto"/>
          <w:lang w:val="en-US" w:eastAsia="zh-CN"/>
        </w:rPr>
        <w:t>指导原则</w:t>
      </w:r>
    </w:p>
    <w:p>
      <w:pPr>
        <w:widowControl w:val="0"/>
        <w:numPr>
          <w:ilvl w:val="0"/>
          <w:numId w:val="12"/>
        </w:numPr>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《医疗器械软件注册审查指导原则》（2022年第9号</w:t>
      </w:r>
      <w:r>
        <w:rPr>
          <w:rFonts w:hint="default"/>
          <w:color w:val="auto"/>
          <w:lang w:val="en-US" w:eastAsia="zh-CN"/>
        </w:rPr>
        <w:t>通告附件</w:t>
      </w:r>
      <w:r>
        <w:rPr>
          <w:rFonts w:hint="eastAsia"/>
          <w:color w:val="auto"/>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医疗器械产品技术要求编写指导原则</w:t>
      </w:r>
      <w:r>
        <w:rPr>
          <w:rFonts w:hint="eastAsia"/>
          <w:color w:val="auto"/>
          <w:lang w:val="en-US" w:eastAsia="zh-CN"/>
        </w:rPr>
        <w:t>》（</w:t>
      </w:r>
      <w:r>
        <w:rPr>
          <w:rFonts w:hint="default"/>
          <w:color w:val="auto"/>
          <w:lang w:val="en-US" w:eastAsia="zh-CN"/>
        </w:rPr>
        <w:t>2022年第8号通告附件</w:t>
      </w:r>
      <w:r>
        <w:rPr>
          <w:rFonts w:hint="eastAsia"/>
          <w:color w:val="auto"/>
          <w:lang w:val="en-US" w:eastAsia="zh-CN"/>
        </w:rPr>
        <w:t>）</w:t>
      </w:r>
      <w:r>
        <w:rPr>
          <w:rFonts w:hint="default"/>
          <w:color w:val="auto"/>
          <w:lang w:val="en-US" w:eastAsia="zh-CN"/>
        </w:rPr>
        <w:t xml:space="preserve"> </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医疗器械网络安全注册审查指导原则</w:t>
      </w:r>
      <w:r>
        <w:rPr>
          <w:rFonts w:hint="eastAsia"/>
          <w:color w:val="auto"/>
          <w:lang w:val="en-US" w:eastAsia="zh-CN"/>
        </w:rPr>
        <w:t>》</w:t>
      </w:r>
      <w:r>
        <w:rPr>
          <w:rFonts w:hint="default"/>
          <w:color w:val="auto"/>
          <w:lang w:val="en-US" w:eastAsia="zh-CN"/>
        </w:rPr>
        <w:t>（2022年修订版）</w:t>
      </w:r>
      <w:r>
        <w:rPr>
          <w:rFonts w:hint="eastAsia"/>
          <w:color w:val="auto"/>
          <w:lang w:val="en-US" w:eastAsia="zh-CN"/>
        </w:rPr>
        <w:t>（</w:t>
      </w:r>
      <w:r>
        <w:rPr>
          <w:rFonts w:hint="default"/>
          <w:color w:val="auto"/>
          <w:lang w:val="en-US" w:eastAsia="zh-CN"/>
        </w:rPr>
        <w:t>国家药监局器审中心2022年第7号附件</w:t>
      </w:r>
      <w:r>
        <w:rPr>
          <w:rFonts w:hint="eastAsia"/>
          <w:color w:val="auto"/>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w:t>
      </w:r>
      <w:r>
        <w:rPr>
          <w:rFonts w:hint="default"/>
          <w:color w:val="auto"/>
          <w:lang w:val="en-US" w:eastAsia="zh-CN"/>
        </w:rPr>
        <w:t>医疗器械注册人开展产品不良事件风险评价指导原则</w:t>
      </w:r>
      <w:r>
        <w:rPr>
          <w:rFonts w:hint="eastAsia"/>
          <w:color w:val="auto"/>
          <w:lang w:val="en-US" w:eastAsia="zh-CN"/>
        </w:rPr>
        <w:t>》</w:t>
      </w:r>
      <w:r>
        <w:rPr>
          <w:rFonts w:hint="default"/>
          <w:color w:val="auto"/>
          <w:lang w:val="en-US" w:eastAsia="zh-CN"/>
        </w:rPr>
        <w:t>（2020年第78号）</w:t>
      </w:r>
    </w:p>
    <w:p>
      <w:pPr>
        <w:widowControl w:val="0"/>
        <w:numPr>
          <w:ilvl w:val="0"/>
          <w:numId w:val="12"/>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fldChar w:fldCharType="begin"/>
      </w:r>
      <w:r>
        <w:rPr>
          <w:rFonts w:hint="default"/>
          <w:color w:val="auto"/>
          <w:lang w:val="en-US" w:eastAsia="zh-CN"/>
        </w:rPr>
        <w:instrText xml:space="preserve"> HYPERLINK "https://www.nmpa.gov.cn/xxgk/ggtg/qtggtg/20171229134501986.html" \o "总局关于发布移动医疗器械注册技术审查指导原则的通告（2017年第222号）" \t "https://www.nmpa.gov.cn/so/_blank" </w:instrText>
      </w:r>
      <w:r>
        <w:rPr>
          <w:rFonts w:hint="default"/>
          <w:color w:val="auto"/>
          <w:lang w:val="en-US" w:eastAsia="zh-CN"/>
        </w:rPr>
        <w:fldChar w:fldCharType="separate"/>
      </w:r>
      <w:r>
        <w:rPr>
          <w:rFonts w:hint="default"/>
          <w:color w:val="auto"/>
          <w:lang w:val="en-US" w:eastAsia="zh-CN"/>
        </w:rPr>
        <w:t>移动医疗器械注册技术审查指导原则</w:t>
      </w:r>
      <w:r>
        <w:rPr>
          <w:rFonts w:hint="eastAsia"/>
          <w:color w:val="auto"/>
          <w:lang w:val="en-US" w:eastAsia="zh-CN"/>
        </w:rPr>
        <w:t>》</w:t>
      </w:r>
      <w:r>
        <w:rPr>
          <w:rFonts w:hint="default"/>
          <w:color w:val="auto"/>
          <w:lang w:val="en-US" w:eastAsia="zh-CN"/>
        </w:rPr>
        <w:t>（2017年第222号）</w:t>
      </w:r>
      <w:r>
        <w:rPr>
          <w:rFonts w:hint="default"/>
          <w:color w:val="auto"/>
          <w:lang w:val="en-US" w:eastAsia="zh-CN"/>
        </w:rPr>
        <w:fldChar w:fldCharType="end"/>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医疗器械人因设计技术审查指导原则（征求意见稿）</w:t>
      </w:r>
      <w:r>
        <w:rPr>
          <w:rFonts w:hint="eastAsia"/>
          <w:color w:val="auto"/>
          <w:lang w:val="en-US" w:eastAsia="zh-CN"/>
        </w:rPr>
        <w:t>》（2020.5.17）</w:t>
      </w:r>
    </w:p>
    <w:p>
      <w:pPr>
        <w:widowControl w:val="0"/>
        <w:numPr>
          <w:ilvl w:val="0"/>
          <w:numId w:val="12"/>
        </w:numPr>
        <w:ind w:left="0" w:leftChars="0" w:firstLine="0" w:firstLineChars="0"/>
        <w:jc w:val="both"/>
        <w:rPr>
          <w:rFonts w:hint="eastAsia"/>
          <w:color w:val="auto"/>
          <w:lang w:val="en-US" w:eastAsia="zh-CN"/>
        </w:rPr>
      </w:pPr>
      <w:r>
        <w:rPr>
          <w:rFonts w:hint="eastAsia"/>
          <w:color w:val="auto"/>
          <w:lang w:val="en-US" w:eastAsia="zh-CN"/>
        </w:rPr>
        <w:t>了解</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《医疗器械注册单元划分指导原则》（2017年第187号）</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人工智能医疗器械注册审查指导原则</w:t>
      </w:r>
      <w:r>
        <w:rPr>
          <w:rFonts w:hint="eastAsia"/>
          <w:color w:val="auto"/>
          <w:lang w:val="en-US" w:eastAsia="zh-CN"/>
        </w:rPr>
        <w:t>》（</w:t>
      </w:r>
      <w:r>
        <w:rPr>
          <w:rFonts w:hint="default"/>
          <w:color w:val="auto"/>
          <w:lang w:val="en-US" w:eastAsia="zh-CN"/>
        </w:rPr>
        <w:t>国家药监局器审中心2022年第8号附件</w:t>
      </w:r>
      <w:r>
        <w:rPr>
          <w:rFonts w:hint="eastAsia"/>
          <w:color w:val="auto"/>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textAlignment w:val="auto"/>
        <w:rPr>
          <w:rFonts w:hint="default"/>
          <w:color w:val="auto"/>
          <w:lang w:val="en-US" w:eastAsia="zh-CN"/>
        </w:rPr>
      </w:pPr>
    </w:p>
    <w:p>
      <w:pPr>
        <w:numPr>
          <w:ilvl w:val="0"/>
          <w:numId w:val="11"/>
        </w:numPr>
        <w:tabs>
          <w:tab w:val="left" w:pos="3360"/>
        </w:tabs>
        <w:ind w:left="0" w:leftChars="0" w:firstLine="420" w:firstLineChars="0"/>
        <w:jc w:val="center"/>
        <w:outlineLvl w:val="2"/>
        <w:rPr>
          <w:rFonts w:hint="eastAsia"/>
          <w:color w:val="auto"/>
          <w:lang w:val="en-US" w:eastAsia="zh-CN"/>
        </w:rPr>
      </w:pPr>
      <w:r>
        <w:rPr>
          <w:rFonts w:hint="eastAsia"/>
          <w:color w:val="auto"/>
          <w:lang w:val="en-US" w:eastAsia="zh-CN"/>
        </w:rPr>
        <w:t>法规文件</w:t>
      </w:r>
    </w:p>
    <w:p>
      <w:pPr>
        <w:widowControl w:val="0"/>
        <w:numPr>
          <w:ilvl w:val="0"/>
          <w:numId w:val="14"/>
        </w:numPr>
        <w:ind w:left="0" w:leftChars="0" w:firstLine="0" w:firstLineChars="0"/>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《医疗器械监督管理条例》</w:t>
      </w:r>
      <w:r>
        <w:rPr>
          <w:rFonts w:hint="eastAsia"/>
          <w:color w:val="auto"/>
          <w:lang w:val="en-US" w:eastAsia="zh-CN"/>
        </w:rPr>
        <w:t>（</w:t>
      </w:r>
      <w:r>
        <w:rPr>
          <w:rFonts w:hint="default"/>
          <w:color w:val="auto"/>
          <w:lang w:val="en-US" w:eastAsia="zh-CN"/>
        </w:rPr>
        <w:t>国务院令第739号</w:t>
      </w:r>
      <w:r>
        <w:rPr>
          <w:rFonts w:hint="eastAsia"/>
          <w:color w:val="auto"/>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《医疗器械注册与备案管理办法》</w:t>
      </w:r>
      <w:r>
        <w:rPr>
          <w:rFonts w:hint="eastAsia"/>
          <w:color w:val="auto"/>
          <w:lang w:val="en-US" w:eastAsia="zh-CN"/>
        </w:rPr>
        <w:t>（</w:t>
      </w:r>
      <w:r>
        <w:rPr>
          <w:rFonts w:hint="default"/>
          <w:color w:val="auto"/>
          <w:lang w:val="en-US" w:eastAsia="zh-CN"/>
        </w:rPr>
        <w:t>国家市场监督管理总局令第47号</w:t>
      </w:r>
      <w:r>
        <w:rPr>
          <w:rFonts w:hint="eastAsia"/>
          <w:color w:val="auto"/>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《医疗器械生产监督管理办法》（总局令第</w:t>
      </w:r>
      <w:r>
        <w:rPr>
          <w:rFonts w:hint="eastAsia"/>
          <w:color w:val="auto"/>
          <w:lang w:val="en-US" w:eastAsia="zh-CN"/>
        </w:rPr>
        <w:t>53</w:t>
      </w:r>
      <w:r>
        <w:rPr>
          <w:rFonts w:hint="default"/>
          <w:color w:val="auto"/>
          <w:lang w:val="en-US" w:eastAsia="zh-CN"/>
        </w:rPr>
        <w:t>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《医疗器械生产质量管理规范》（2014年第64号）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《医疗器械生产质量管理规范附录独立软件》（2019年第43号）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eastAsia"/>
          <w:color w:val="auto"/>
          <w:lang w:val="en-US" w:eastAsia="zh-CN"/>
        </w:rPr>
      </w:pPr>
      <w:r>
        <w:rPr>
          <w:rFonts w:hint="eastAsia"/>
          <w:color w:val="auto"/>
          <w:lang w:val="en-US" w:eastAsia="zh-CN"/>
        </w:rPr>
        <w:t>《医疗器械说明书和标签管理规定》（总局令第6号）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医疗器械注册质量管理体系核查指南</w:t>
      </w:r>
      <w:r>
        <w:rPr>
          <w:rFonts w:hint="eastAsia"/>
          <w:color w:val="auto"/>
          <w:lang w:val="en-US" w:eastAsia="zh-CN"/>
        </w:rPr>
        <w:t>》</w:t>
      </w:r>
      <w:r>
        <w:rPr>
          <w:rFonts w:hint="default"/>
          <w:color w:val="auto"/>
          <w:lang w:val="en-US" w:eastAsia="zh-CN"/>
        </w:rPr>
        <w:t>（2020年 第19号）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医疗器械注册自检管理规定</w:t>
      </w:r>
      <w:r>
        <w:rPr>
          <w:rFonts w:hint="eastAsia"/>
          <w:color w:val="auto"/>
          <w:lang w:val="en-US" w:eastAsia="zh-CN"/>
        </w:rPr>
        <w:t>》</w:t>
      </w:r>
      <w:r>
        <w:rPr>
          <w:rFonts w:hint="default"/>
          <w:color w:val="auto"/>
          <w:lang w:val="en-US" w:eastAsia="zh-CN"/>
        </w:rPr>
        <w:t>（2021年局第126号）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《国家食品药品监督管理总局关于发布医疗器械生产企业供应商审核指南的通告》（2015年第1号）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highlight w:val="none"/>
          <w:lang w:val="en-US" w:eastAsia="zh-CN"/>
        </w:rPr>
      </w:pPr>
      <w:r>
        <w:rPr>
          <w:rFonts w:hint="default"/>
          <w:color w:val="auto"/>
          <w:highlight w:val="none"/>
          <w:lang w:val="en-US" w:eastAsia="zh-CN"/>
        </w:rPr>
        <w:t>《医疗器械不良事件监测和再评价管理办法》（2018年国家市场监督管理总局令第1号）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highlight w:val="none"/>
          <w:lang w:val="en-US" w:eastAsia="zh-CN"/>
        </w:rPr>
        <w:t>《医疗器械注册人开展不良事件监测工作指南》（2020年第25号）</w:t>
      </w:r>
    </w:p>
    <w:p>
      <w:pPr>
        <w:widowControl w:val="0"/>
        <w:numPr>
          <w:ilvl w:val="0"/>
          <w:numId w:val="14"/>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《医疗器械唯一标识系统规则的公告》（2019年 第66号）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《医疗器械召回管理办法》（总局令第29号）</w:t>
      </w:r>
    </w:p>
    <w:p>
      <w:pPr>
        <w:numPr>
          <w:ilvl w:val="0"/>
          <w:numId w:val="11"/>
        </w:numPr>
        <w:tabs>
          <w:tab w:val="left" w:pos="3360"/>
        </w:tabs>
        <w:ind w:left="0" w:leftChars="0" w:firstLine="420" w:firstLineChars="0"/>
        <w:jc w:val="center"/>
        <w:outlineLvl w:val="2"/>
        <w:rPr>
          <w:rFonts w:hint="eastAsia"/>
          <w:color w:val="auto"/>
          <w:lang w:val="en-US" w:eastAsia="zh-CN"/>
        </w:rPr>
      </w:pPr>
      <w:r>
        <w:rPr>
          <w:rFonts w:hint="eastAsia"/>
          <w:color w:val="auto"/>
          <w:lang w:val="en-US" w:eastAsia="zh-CN"/>
        </w:rPr>
        <w:t>标准</w:t>
      </w:r>
    </w:p>
    <w:p>
      <w:pPr>
        <w:numPr>
          <w:ilvl w:val="0"/>
          <w:numId w:val="0"/>
        </w:numPr>
        <w:tabs>
          <w:tab w:val="left" w:pos="3360"/>
        </w:tabs>
        <w:ind w:leftChars="0"/>
        <w:jc w:val="both"/>
        <w:rPr>
          <w:rFonts w:hint="eastAsia"/>
          <w:color w:val="auto"/>
          <w:lang w:val="en-US" w:eastAsia="zh-CN"/>
        </w:rPr>
      </w:pPr>
    </w:p>
    <w:p>
      <w:pPr>
        <w:widowControl w:val="0"/>
        <w:numPr>
          <w:ilvl w:val="0"/>
          <w:numId w:val="16"/>
        </w:numPr>
        <w:ind w:left="0" w:leftChars="0" w:firstLine="0" w:firstLineChars="0"/>
        <w:jc w:val="both"/>
        <w:rPr>
          <w:rFonts w:hint="eastAsia"/>
          <w:color w:val="auto"/>
          <w:lang w:val="en-US" w:eastAsia="zh-CN"/>
        </w:rPr>
      </w:pPr>
      <w:r>
        <w:rPr>
          <w:rFonts w:hint="eastAsia"/>
          <w:color w:val="auto"/>
          <w:lang w:val="en-US" w:eastAsia="zh-CN"/>
        </w:rPr>
        <w:t>掌握</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7247.1-2012 《激光产品的安全 第1部分设备分类、要求》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YY/T 0664-2020 </w:t>
      </w:r>
      <w:r>
        <w:rPr>
          <w:rFonts w:hint="default"/>
          <w:color w:val="auto"/>
          <w:lang w:val="en-US" w:eastAsia="zh-CN"/>
        </w:rPr>
        <w:t>《</w:t>
      </w:r>
      <w:r>
        <w:rPr>
          <w:rFonts w:hint="eastAsia"/>
          <w:color w:val="auto"/>
          <w:lang w:val="en-US" w:eastAsia="zh-CN"/>
        </w:rPr>
        <w:t>医疗器械软件 软件生存周期过程</w:t>
      </w:r>
      <w:r>
        <w:rPr>
          <w:rFonts w:hint="default"/>
          <w:color w:val="auto"/>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GB / T 25000.51-2016 </w:t>
      </w:r>
      <w:r>
        <w:rPr>
          <w:rFonts w:hint="default"/>
          <w:color w:val="auto"/>
          <w:lang w:val="en-US" w:eastAsia="zh-CN"/>
        </w:rPr>
        <w:t>《</w:t>
      </w:r>
      <w:r>
        <w:rPr>
          <w:rFonts w:hint="eastAsia"/>
          <w:color w:val="auto"/>
          <w:lang w:val="en-US" w:eastAsia="zh-CN"/>
        </w:rPr>
        <w:t>系统与软件工程 系统与软件质量要求和评价( SQuaRE )第 51 部分: 就绪可用软件产品( RUSP )的质量要求和测试细则》</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 T 1406.1-2016 </w:t>
      </w:r>
      <w:r>
        <w:rPr>
          <w:rFonts w:hint="default"/>
          <w:color w:val="auto"/>
          <w:lang w:val="en-US" w:eastAsia="zh-CN"/>
        </w:rPr>
        <w:t>《</w:t>
      </w:r>
      <w:r>
        <w:rPr>
          <w:rFonts w:hint="eastAsia"/>
          <w:color w:val="auto"/>
          <w:lang w:val="en-US" w:eastAsia="zh-CN"/>
        </w:rPr>
        <w:t>医疗器械软件 第1部分YY/ T0316应用于医疗器械软件的指南》</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1630—2018 《医疗器械唯一标识基本要求》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YY/T 0287-2017 </w:t>
      </w:r>
      <w:r>
        <w:rPr>
          <w:rFonts w:hint="default"/>
          <w:color w:val="auto"/>
          <w:lang w:val="en-US" w:eastAsia="zh-CN"/>
        </w:rPr>
        <w:t>《</w:t>
      </w:r>
      <w:r>
        <w:rPr>
          <w:rFonts w:hint="eastAsia"/>
          <w:color w:val="auto"/>
          <w:lang w:val="en-US" w:eastAsia="zh-CN"/>
        </w:rPr>
        <w:t>医疗器械质量管理体系用于法规的要求》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T 0316-2016 《医疗器械 风险管理对医疗器械的应用》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textAlignment w:val="auto"/>
        <w:rPr>
          <w:rFonts w:hint="eastAsia"/>
          <w:color w:val="auto"/>
          <w:lang w:val="en-US" w:eastAsia="zh-CN"/>
        </w:rPr>
      </w:pPr>
    </w:p>
    <w:p>
      <w:pPr>
        <w:widowControl w:val="0"/>
        <w:numPr>
          <w:ilvl w:val="0"/>
          <w:numId w:val="16"/>
        </w:numPr>
        <w:ind w:left="0" w:leftChars="0" w:firstLine="0" w:firstLineChars="0"/>
        <w:jc w:val="both"/>
        <w:rPr>
          <w:rFonts w:hint="eastAsia"/>
          <w:color w:val="auto"/>
          <w:lang w:val="en-US" w:eastAsia="zh-CN"/>
        </w:rPr>
      </w:pPr>
      <w:r>
        <w:rPr>
          <w:rFonts w:hint="eastAsia"/>
          <w:color w:val="auto"/>
          <w:lang w:val="en-US" w:eastAsia="zh-CN"/>
        </w:rPr>
        <w:t>熟悉</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9706.1-2007 《医用电气设备 第1部分：安全通用要求》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GB/T 14710-2009 《医用电器环境要求及试验方法》</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0505-2012 《医用电气设备 第1-2部分 安全通用要求并列标准 电磁兼容 要求和试验》</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1057-2016  《医用脚踏开关通用技术条件》</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1712-2021 《采用机器人技术的辅助手术设备和辅助手术系统》（2022.10.1实施）</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9706.1-2020 《医用电气设备第1部分：基本安全和基本性能的通用要求》（2023.5.1实施）</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9706.102-2021 《医用电气设备 第1-2部分：基本安全和基本性能的通用要求 并列标准：电磁兼容 要求和试验》的要求（2023.5.1实施）</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T 9706.106-2021</w:t>
      </w:r>
      <w:r>
        <w:rPr>
          <w:rFonts w:hint="eastAsia"/>
          <w:color w:val="auto"/>
          <w:lang w:val="en-US" w:eastAsia="zh-CN"/>
        </w:rPr>
        <w:t>《</w:t>
      </w:r>
      <w:r>
        <w:rPr>
          <w:rFonts w:hint="default"/>
          <w:color w:val="auto"/>
          <w:lang w:val="en-US" w:eastAsia="zh-CN"/>
        </w:rPr>
        <w:t>医用电气设备 第1-6部分：基本安全和基本性能的通用要求 并列标准：可用性</w:t>
      </w:r>
      <w:r>
        <w:rPr>
          <w:rFonts w:hint="eastAsia"/>
          <w:color w:val="auto"/>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 xml:space="preserve"> T 1686-2020 </w:t>
      </w:r>
      <w:r>
        <w:rPr>
          <w:rFonts w:hint="eastAsia"/>
          <w:color w:val="auto"/>
          <w:lang w:val="en-US" w:eastAsia="zh-CN"/>
        </w:rPr>
        <w:t>《</w:t>
      </w:r>
      <w:r>
        <w:rPr>
          <w:rFonts w:hint="default"/>
          <w:color w:val="auto"/>
          <w:lang w:val="en-US" w:eastAsia="zh-CN"/>
        </w:rPr>
        <w:t>采用机器人技术的医用电气设备 分类</w:t>
      </w:r>
      <w:r>
        <w:rPr>
          <w:rFonts w:hint="eastAsia"/>
          <w:color w:val="auto"/>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16886.1-2022 《医疗器械生物学评价第1部分：风险管理过程中的评价与试验》（2023.5.1实施）</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16886.1-2011 《医疗器械生物学评价 第1部分：风险管理过程中的评价与试验》</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16886.5-2017 《医疗器械生物学评价 第5部分：体外细胞毒性试验》</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16886.10-2017 《医疗器械生物学评价第10部分：刺激与皮肤致敏试验》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textAlignment w:val="auto"/>
        <w:rPr>
          <w:rFonts w:hint="eastAsia"/>
          <w:color w:val="auto"/>
          <w:lang w:val="en-US" w:eastAsia="zh-CN"/>
        </w:rPr>
      </w:pPr>
    </w:p>
    <w:p>
      <w:pPr>
        <w:numPr>
          <w:ilvl w:val="0"/>
          <w:numId w:val="3"/>
        </w:numPr>
        <w:ind w:left="420" w:leftChars="0" w:hanging="420" w:firstLineChars="0"/>
        <w:outlineLvl w:val="1"/>
        <w:rPr>
          <w:rFonts w:hint="default"/>
          <w:b/>
          <w:bCs/>
          <w:color w:val="auto"/>
          <w:sz w:val="21"/>
          <w:szCs w:val="21"/>
          <w:lang w:val="en-US" w:eastAsia="zh-CN"/>
        </w:rPr>
      </w:pPr>
      <w:r>
        <w:rPr>
          <w:rFonts w:hint="eastAsia"/>
          <w:b/>
          <w:bCs/>
          <w:color w:val="auto"/>
          <w:sz w:val="21"/>
          <w:szCs w:val="21"/>
          <w:lang w:val="en-US" w:eastAsia="zh-CN"/>
        </w:rPr>
        <w:t>研发中心、产品中心</w:t>
      </w:r>
      <w:bookmarkStart w:id="1" w:name="_GoBack"/>
      <w:bookmarkEnd w:id="1"/>
    </w:p>
    <w:p>
      <w:pPr>
        <w:numPr>
          <w:ilvl w:val="0"/>
          <w:numId w:val="18"/>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指导原则</w:t>
      </w:r>
    </w:p>
    <w:p>
      <w:pPr>
        <w:widowControl w:val="0"/>
        <w:numPr>
          <w:ilvl w:val="0"/>
          <w:numId w:val="19"/>
        </w:numPr>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《医疗器械软件注册审查指导原则》（2022年第9号</w:t>
      </w:r>
      <w:r>
        <w:rPr>
          <w:rFonts w:hint="default"/>
          <w:color w:val="auto"/>
          <w:lang w:val="en-US" w:eastAsia="zh-CN"/>
        </w:rPr>
        <w:t>通告附件</w:t>
      </w:r>
      <w:r>
        <w:rPr>
          <w:rFonts w:hint="eastAsia"/>
          <w:color w:val="auto"/>
          <w:lang w:val="en-US" w:eastAsia="zh-CN"/>
        </w:rPr>
        <w:t>）</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医疗器械产品技术要求编写指导原则</w:t>
      </w:r>
      <w:r>
        <w:rPr>
          <w:rFonts w:hint="eastAsia"/>
          <w:color w:val="auto"/>
          <w:lang w:val="en-US" w:eastAsia="zh-CN"/>
        </w:rPr>
        <w:t>》（</w:t>
      </w:r>
      <w:r>
        <w:rPr>
          <w:rFonts w:hint="default"/>
          <w:color w:val="auto"/>
          <w:lang w:val="en-US" w:eastAsia="zh-CN"/>
        </w:rPr>
        <w:t>2022年第8号通告附件</w:t>
      </w:r>
      <w:r>
        <w:rPr>
          <w:rFonts w:hint="eastAsia"/>
          <w:color w:val="auto"/>
          <w:lang w:val="en-US" w:eastAsia="zh-CN"/>
        </w:rPr>
        <w:t>）</w:t>
      </w:r>
      <w:r>
        <w:rPr>
          <w:rFonts w:hint="default"/>
          <w:color w:val="auto"/>
          <w:lang w:val="en-US" w:eastAsia="zh-CN"/>
        </w:rPr>
        <w:t xml:space="preserve"> </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医疗器械网络安全注册审查指导原则</w:t>
      </w:r>
      <w:r>
        <w:rPr>
          <w:rFonts w:hint="eastAsia"/>
          <w:color w:val="auto"/>
          <w:lang w:val="en-US" w:eastAsia="zh-CN"/>
        </w:rPr>
        <w:t>》</w:t>
      </w:r>
      <w:r>
        <w:rPr>
          <w:rFonts w:hint="default"/>
          <w:color w:val="auto"/>
          <w:lang w:val="en-US" w:eastAsia="zh-CN"/>
        </w:rPr>
        <w:t>（2022年修订版）</w:t>
      </w:r>
      <w:r>
        <w:rPr>
          <w:rFonts w:hint="eastAsia"/>
          <w:color w:val="auto"/>
          <w:lang w:val="en-US" w:eastAsia="zh-CN"/>
        </w:rPr>
        <w:t>（</w:t>
      </w:r>
      <w:r>
        <w:rPr>
          <w:rFonts w:hint="default"/>
          <w:color w:val="auto"/>
          <w:lang w:val="en-US" w:eastAsia="zh-CN"/>
        </w:rPr>
        <w:t>国家药监局器审中心2022年第7号附件</w:t>
      </w:r>
      <w:r>
        <w:rPr>
          <w:rFonts w:hint="eastAsia"/>
          <w:color w:val="auto"/>
          <w:lang w:val="en-US" w:eastAsia="zh-CN"/>
        </w:rPr>
        <w:t>）</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w:t>
      </w:r>
      <w:r>
        <w:rPr>
          <w:rFonts w:hint="default"/>
          <w:color w:val="auto"/>
          <w:lang w:val="en-US" w:eastAsia="zh-CN"/>
        </w:rPr>
        <w:t>医用软件通用名称命名指导原则</w:t>
      </w:r>
      <w:r>
        <w:rPr>
          <w:rFonts w:hint="eastAsia"/>
          <w:color w:val="auto"/>
          <w:lang w:val="en-US" w:eastAsia="zh-CN"/>
        </w:rPr>
        <w:t>》（</w:t>
      </w:r>
      <w:r>
        <w:rPr>
          <w:rFonts w:hint="default"/>
          <w:color w:val="auto"/>
          <w:lang w:val="en-US" w:eastAsia="zh-CN"/>
        </w:rPr>
        <w:t>2021年第48号通告</w:t>
      </w:r>
      <w:r>
        <w:rPr>
          <w:rFonts w:hint="eastAsia"/>
          <w:color w:val="auto"/>
          <w:lang w:val="en-US" w:eastAsia="zh-CN"/>
        </w:rPr>
        <w:t>）</w:t>
      </w:r>
    </w:p>
    <w:p>
      <w:pPr>
        <w:widowControl w:val="0"/>
        <w:numPr>
          <w:ilvl w:val="0"/>
          <w:numId w:val="19"/>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人工智能医疗器械注册审查指导原则</w:t>
      </w:r>
      <w:r>
        <w:rPr>
          <w:rFonts w:hint="eastAsia"/>
          <w:color w:val="auto"/>
          <w:lang w:val="en-US" w:eastAsia="zh-CN"/>
        </w:rPr>
        <w:t>》（</w:t>
      </w:r>
      <w:r>
        <w:rPr>
          <w:rFonts w:hint="default"/>
          <w:color w:val="auto"/>
          <w:lang w:val="en-US" w:eastAsia="zh-CN"/>
        </w:rPr>
        <w:t>国家药监局器审中心2022年第8号附件</w:t>
      </w:r>
      <w:r>
        <w:rPr>
          <w:rFonts w:hint="eastAsia"/>
          <w:color w:val="auto"/>
          <w:lang w:val="en-US" w:eastAsia="zh-CN"/>
        </w:rPr>
        <w:t>）</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fldChar w:fldCharType="begin"/>
      </w:r>
      <w:r>
        <w:rPr>
          <w:rFonts w:hint="default"/>
          <w:color w:val="auto"/>
          <w:lang w:val="en-US" w:eastAsia="zh-CN"/>
        </w:rPr>
        <w:instrText xml:space="preserve"> HYPERLINK "https://www.nmpa.gov.cn/xxgk/ggtg/qtggtg/20171229134501986.html" \o "总局关于发布移动医疗器械注册技术审查指导原则的通告（2017年第222号）" \t "https://www.nmpa.gov.cn/so/_blank" </w:instrText>
      </w:r>
      <w:r>
        <w:rPr>
          <w:rFonts w:hint="default"/>
          <w:color w:val="auto"/>
          <w:lang w:val="en-US" w:eastAsia="zh-CN"/>
        </w:rPr>
        <w:fldChar w:fldCharType="separate"/>
      </w:r>
      <w:r>
        <w:rPr>
          <w:rFonts w:hint="default"/>
          <w:color w:val="auto"/>
          <w:lang w:val="en-US" w:eastAsia="zh-CN"/>
        </w:rPr>
        <w:t>移动医疗器械注册技术审查指导原则</w:t>
      </w:r>
      <w:r>
        <w:rPr>
          <w:rFonts w:hint="eastAsia"/>
          <w:color w:val="auto"/>
          <w:lang w:val="en-US" w:eastAsia="zh-CN"/>
        </w:rPr>
        <w:t>》</w:t>
      </w:r>
      <w:r>
        <w:rPr>
          <w:rFonts w:hint="default"/>
          <w:color w:val="auto"/>
          <w:lang w:val="en-US" w:eastAsia="zh-CN"/>
        </w:rPr>
        <w:t>（2017年第222号）</w:t>
      </w:r>
      <w:r>
        <w:rPr>
          <w:rFonts w:hint="default"/>
          <w:color w:val="auto"/>
          <w:lang w:val="en-US" w:eastAsia="zh-CN"/>
        </w:rPr>
        <w:fldChar w:fldCharType="end"/>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医疗器械人因设计技术审查指导原则（征求意见稿）</w:t>
      </w:r>
      <w:r>
        <w:rPr>
          <w:rFonts w:hint="eastAsia"/>
          <w:color w:val="auto"/>
          <w:lang w:val="en-US" w:eastAsia="zh-CN"/>
        </w:rPr>
        <w:t>》（2020.5.17）</w:t>
      </w:r>
    </w:p>
    <w:p>
      <w:pPr>
        <w:widowControl w:val="0"/>
        <w:numPr>
          <w:ilvl w:val="0"/>
          <w:numId w:val="0"/>
        </w:numPr>
        <w:jc w:val="both"/>
        <w:rPr>
          <w:rFonts w:hint="default"/>
          <w:color w:val="auto"/>
          <w:lang w:val="en-US" w:eastAsia="zh-CN"/>
        </w:rPr>
      </w:pPr>
    </w:p>
    <w:p>
      <w:pPr>
        <w:numPr>
          <w:ilvl w:val="0"/>
          <w:numId w:val="18"/>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法规文件</w:t>
      </w:r>
    </w:p>
    <w:p>
      <w:pPr>
        <w:widowControl w:val="0"/>
        <w:numPr>
          <w:ilvl w:val="0"/>
          <w:numId w:val="21"/>
        </w:numPr>
        <w:ind w:left="0" w:leftChars="0" w:firstLine="0" w:firstLineChars="0"/>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《医疗器械监督管理条例》</w:t>
      </w:r>
      <w:r>
        <w:rPr>
          <w:rFonts w:hint="eastAsia"/>
          <w:color w:val="auto"/>
          <w:lang w:val="en-US" w:eastAsia="zh-CN"/>
        </w:rPr>
        <w:t>（</w:t>
      </w:r>
      <w:r>
        <w:rPr>
          <w:rFonts w:hint="default"/>
          <w:color w:val="auto"/>
          <w:lang w:val="en-US" w:eastAsia="zh-CN"/>
        </w:rPr>
        <w:t>国务院令第739号</w:t>
      </w:r>
      <w:r>
        <w:rPr>
          <w:rFonts w:hint="eastAsia"/>
          <w:color w:val="auto"/>
          <w:lang w:val="en-US" w:eastAsia="zh-CN"/>
        </w:rPr>
        <w:t>）</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《医疗器械生产监督管理办法》（总局令第</w:t>
      </w:r>
      <w:r>
        <w:rPr>
          <w:rFonts w:hint="eastAsia"/>
          <w:color w:val="auto"/>
          <w:lang w:val="en-US" w:eastAsia="zh-CN"/>
        </w:rPr>
        <w:t>53</w:t>
      </w:r>
      <w:r>
        <w:rPr>
          <w:rFonts w:hint="default"/>
          <w:color w:val="auto"/>
          <w:lang w:val="en-US" w:eastAsia="zh-CN"/>
        </w:rPr>
        <w:t>号）</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《医疗器械生产质量管理规范》（2014年第64号）</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《医疗器械生产质量管理规范附录独立软件》（2019年第43号）</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《医疗器械说明书和标签管理规定》（总局令第6号）</w:t>
      </w:r>
    </w:p>
    <w:p>
      <w:pPr>
        <w:widowControl w:val="0"/>
        <w:numPr>
          <w:ilvl w:val="0"/>
          <w:numId w:val="21"/>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《医疗器械唯一标识系统规则的公告》（2019年 第66号）</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医疗器械注册自检管理规定</w:t>
      </w:r>
      <w:r>
        <w:rPr>
          <w:rFonts w:hint="eastAsia"/>
          <w:color w:val="auto"/>
          <w:lang w:val="en-US" w:eastAsia="zh-CN"/>
        </w:rPr>
        <w:t>》</w:t>
      </w:r>
      <w:r>
        <w:rPr>
          <w:rFonts w:hint="default"/>
          <w:color w:val="auto"/>
          <w:lang w:val="en-US" w:eastAsia="zh-CN"/>
        </w:rPr>
        <w:t>（2021年局第126号）</w:t>
      </w:r>
    </w:p>
    <w:p>
      <w:pPr>
        <w:numPr>
          <w:ilvl w:val="0"/>
          <w:numId w:val="18"/>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标准</w:t>
      </w:r>
    </w:p>
    <w:p>
      <w:pPr>
        <w:widowControl w:val="0"/>
        <w:numPr>
          <w:ilvl w:val="0"/>
          <w:numId w:val="23"/>
        </w:numPr>
        <w:ind w:left="0" w:leftChars="0" w:firstLine="0" w:firstLineChars="0"/>
        <w:jc w:val="both"/>
        <w:rPr>
          <w:rFonts w:hint="eastAsia"/>
          <w:color w:val="auto"/>
          <w:lang w:val="en-US" w:eastAsia="zh-CN"/>
        </w:rPr>
      </w:pPr>
      <w:r>
        <w:rPr>
          <w:rFonts w:hint="eastAsia"/>
          <w:color w:val="auto"/>
          <w:lang w:val="en-US" w:eastAsia="zh-CN"/>
        </w:rPr>
        <w:t>掌握</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7247.1-2012 《激光产品的安全 第1部分设备分类、要求》</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YY/T 0664-2020 </w:t>
      </w:r>
      <w:r>
        <w:rPr>
          <w:rFonts w:hint="default"/>
          <w:color w:val="auto"/>
          <w:lang w:val="en-US" w:eastAsia="zh-CN"/>
        </w:rPr>
        <w:t>《</w:t>
      </w:r>
      <w:r>
        <w:rPr>
          <w:rFonts w:hint="eastAsia"/>
          <w:color w:val="auto"/>
          <w:lang w:val="en-US" w:eastAsia="zh-CN"/>
        </w:rPr>
        <w:t>医疗器械软件 软件生存周期过程</w:t>
      </w:r>
      <w:r>
        <w:rPr>
          <w:rFonts w:hint="default"/>
          <w:color w:val="auto"/>
          <w:lang w:val="en-US" w:eastAsia="zh-CN"/>
        </w:rPr>
        <w:t>》</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GB / T 25000.51-2016 </w:t>
      </w:r>
      <w:r>
        <w:rPr>
          <w:rFonts w:hint="default"/>
          <w:color w:val="auto"/>
          <w:lang w:val="en-US" w:eastAsia="zh-CN"/>
        </w:rPr>
        <w:t>《</w:t>
      </w:r>
      <w:r>
        <w:rPr>
          <w:rFonts w:hint="eastAsia"/>
          <w:color w:val="auto"/>
          <w:lang w:val="en-US" w:eastAsia="zh-CN"/>
        </w:rPr>
        <w:t>系统与软件工程 系统与软件质量要求和评价( SQuaRE )第 51 部分: 就绪可用软件产品( RUSP )的质量要求和测试细则》</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 T 1406.1-2016 </w:t>
      </w:r>
      <w:r>
        <w:rPr>
          <w:rFonts w:hint="default"/>
          <w:color w:val="auto"/>
          <w:lang w:val="en-US" w:eastAsia="zh-CN"/>
        </w:rPr>
        <w:t>《</w:t>
      </w:r>
      <w:r>
        <w:rPr>
          <w:rFonts w:hint="eastAsia"/>
          <w:color w:val="auto"/>
          <w:lang w:val="en-US" w:eastAsia="zh-CN"/>
        </w:rPr>
        <w:t>医疗器械软件 第1部分YY/ T0316应用于医疗器械软件的指南》</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YY/T 0287-2017 </w:t>
      </w:r>
      <w:r>
        <w:rPr>
          <w:rFonts w:hint="default"/>
          <w:color w:val="auto"/>
          <w:lang w:val="en-US" w:eastAsia="zh-CN"/>
        </w:rPr>
        <w:t>《</w:t>
      </w:r>
      <w:r>
        <w:rPr>
          <w:rFonts w:hint="eastAsia"/>
          <w:color w:val="auto"/>
          <w:lang w:val="en-US" w:eastAsia="zh-CN"/>
        </w:rPr>
        <w:t>医疗器械质量管理体系用于法规的要求》</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T 0316-2016 《医疗器械 风险管理对医疗器械的应用》</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9706.1-2007 《医用电气设备 第1部分：安全通用要求》</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GB/T 14710-2009 《医用电器环境要求及试验方法》</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0505-2012 《医用电气设备 第1-2部分 安全通用要求并列标准 电磁兼容 要求和试验》</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1057-2016  《医用脚踏开关通用技术条件》</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1712-2021 《采用机器人技术的辅助手术设备和辅助手术系统》（2022.10.1实施）</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9706.1-2020 《医用电气设备第1部分：基本安全和基本性能的通用要求》（2023.5.1实施）</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9706.102-2021 《医用电气设备 第1-2部分：基本安全和基本性能的通用要求 并列标准：电磁兼容 要求和试验》的要求（2023.5.1实施）</w:t>
      </w:r>
    </w:p>
    <w:p>
      <w:pPr>
        <w:widowControl w:val="0"/>
        <w:numPr>
          <w:ilvl w:val="0"/>
          <w:numId w:val="23"/>
        </w:numPr>
        <w:ind w:left="0" w:leftChars="0" w:firstLine="0" w:firstLineChars="0"/>
        <w:jc w:val="both"/>
        <w:rPr>
          <w:rFonts w:hint="eastAsia"/>
          <w:color w:val="auto"/>
          <w:lang w:val="en-US" w:eastAsia="zh-CN"/>
        </w:rPr>
      </w:pPr>
      <w:r>
        <w:rPr>
          <w:rFonts w:hint="eastAsia"/>
          <w:color w:val="auto"/>
          <w:lang w:val="en-US" w:eastAsia="zh-CN"/>
        </w:rPr>
        <w:t>熟悉</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1474-2016 《医疗器械可用性工程对医疗器械的应用》</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T 9706.106-2021</w:t>
      </w:r>
      <w:r>
        <w:rPr>
          <w:rFonts w:hint="eastAsia"/>
          <w:color w:val="auto"/>
          <w:lang w:val="en-US" w:eastAsia="zh-CN"/>
        </w:rPr>
        <w:t>《</w:t>
      </w:r>
      <w:r>
        <w:rPr>
          <w:rFonts w:hint="default"/>
          <w:color w:val="auto"/>
          <w:lang w:val="en-US" w:eastAsia="zh-CN"/>
        </w:rPr>
        <w:t>医用电气设备 第1-6部分：基本安全和基本性能的通用要求 并列标准：可用性</w:t>
      </w:r>
      <w:r>
        <w:rPr>
          <w:rFonts w:hint="eastAsia"/>
          <w:color w:val="auto"/>
          <w:lang w:val="en-US" w:eastAsia="zh-CN"/>
        </w:rPr>
        <w:t>》</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 xml:space="preserve"> T 1686-2020 </w:t>
      </w:r>
      <w:r>
        <w:rPr>
          <w:rFonts w:hint="eastAsia"/>
          <w:color w:val="auto"/>
          <w:lang w:val="en-US" w:eastAsia="zh-CN"/>
        </w:rPr>
        <w:t>《</w:t>
      </w:r>
      <w:r>
        <w:rPr>
          <w:rFonts w:hint="default"/>
          <w:color w:val="auto"/>
          <w:lang w:val="en-US" w:eastAsia="zh-CN"/>
        </w:rPr>
        <w:t>采用机器人技术的医用电气设备 分类</w:t>
      </w:r>
      <w:r>
        <w:rPr>
          <w:rFonts w:hint="eastAsia"/>
          <w:color w:val="auto"/>
          <w:lang w:val="en-US" w:eastAsia="zh-CN"/>
        </w:rPr>
        <w:t>》</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1630—2018 《医疗器械唯一标识基本要求》</w:t>
      </w:r>
    </w:p>
    <w:p>
      <w:pPr>
        <w:widowControl w:val="0"/>
        <w:numPr>
          <w:ilvl w:val="0"/>
          <w:numId w:val="23"/>
        </w:numPr>
        <w:ind w:left="0" w:leftChars="0" w:firstLine="0" w:firstLineChars="0"/>
        <w:jc w:val="both"/>
        <w:rPr>
          <w:rFonts w:hint="eastAsia"/>
          <w:color w:val="auto"/>
          <w:lang w:val="en-US" w:eastAsia="zh-CN"/>
        </w:rPr>
      </w:pPr>
      <w:r>
        <w:rPr>
          <w:rFonts w:hint="eastAsia"/>
          <w:color w:val="auto"/>
          <w:lang w:val="en-US" w:eastAsia="zh-CN"/>
        </w:rPr>
        <w:t>了解</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16886.1-2022 《医疗器械生物学评价第1部分：风险管理过程中的评价与试验》（2023.5.1实施）</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16886.1-2011 《医疗器械生物学评价 第1部分：风险管理过程中的评价与试验》</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16886.5-2017 《医疗器械生物学评价 第5部分：体外细胞毒性试验》</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GB/ T 16886.10-2017 《医疗器械生物学评价第10部分：刺激与皮肤致敏试验》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lang w:val="en-US" w:eastAsia="zh-CN"/>
        </w:rPr>
      </w:pPr>
    </w:p>
    <w:p>
      <w:pPr>
        <w:widowControl w:val="0"/>
        <w:numPr>
          <w:ilvl w:val="0"/>
          <w:numId w:val="0"/>
        </w:numPr>
        <w:jc w:val="both"/>
        <w:rPr>
          <w:rFonts w:hint="default"/>
          <w:lang w:val="en-US" w:eastAsia="zh-CN"/>
        </w:rPr>
      </w:pPr>
    </w:p>
    <w:sectPr>
      <w:headerReference r:id="rId3" w:type="default"/>
      <w:footerReference r:id="rId4" w:type="default"/>
      <w:pgSz w:w="16838" w:h="11906" w:orient="landscape"/>
      <w:pgMar w:top="1134" w:right="567" w:bottom="850" w:left="567" w:header="567" w:footer="850" w:gutter="0"/>
      <w:pgNumType w:fmt="decimal"/>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right"/>
      <w:rPr>
        <w:rFonts w:hint="eastAsia" w:ascii="宋体" w:hAnsi="宋体" w:eastAsia="宋体" w:cs="宋体"/>
      </w:rPr>
    </w:pPr>
    <w:r>
      <w:rPr>
        <w:rFonts w:hint="eastAsia" w:ascii="宋体" w:hAnsi="宋体" w:eastAsia="宋体"/>
        <w:sz w:val="18"/>
        <w:szCs w:val="18"/>
      </w:rPr>
      <w:t xml:space="preserve">  </w:t>
    </w:r>
    <w:r>
      <w:rPr>
        <w:rFonts w:hint="eastAsia" w:ascii="宋体" w:hAnsi="宋体" w:eastAsia="宋体" w:cs="宋体"/>
        <w:sz w:val="18"/>
        <w:szCs w:val="18"/>
      </w:rPr>
      <w:t xml:space="preserve">   页码：</w:t>
    </w:r>
    <w:sdt>
      <w:sdtPr>
        <w:rPr>
          <w:rFonts w:hint="eastAsia" w:ascii="宋体" w:hAnsi="宋体" w:eastAsia="宋体" w:cs="宋体"/>
          <w:sz w:val="18"/>
          <w:szCs w:val="18"/>
        </w:rPr>
        <w:id w:val="250395305"/>
        <w:docPartObj>
          <w:docPartGallery w:val="autotext"/>
        </w:docPartObj>
      </w:sdtPr>
      <w:sdtEndPr>
        <w:rPr>
          <w:rFonts w:hint="eastAsia" w:ascii="宋体" w:hAnsi="宋体" w:eastAsia="宋体" w:cs="宋体"/>
          <w:sz w:val="18"/>
          <w:szCs w:val="18"/>
        </w:rPr>
      </w:sdtEndPr>
      <w:sdtContent>
        <w:r>
          <w:rPr>
            <w:rFonts w:hint="eastAsia" w:ascii="宋体" w:hAnsi="宋体" w:eastAsia="宋体" w:cs="宋体"/>
            <w:sz w:val="18"/>
            <w:szCs w:val="18"/>
            <w:lang w:val="zh-CN"/>
          </w:rPr>
          <w:t xml:space="preserve">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PAGE </w:instrText>
        </w:r>
        <w:r>
          <w:rPr>
            <w:rFonts w:hint="eastAsia" w:ascii="宋体" w:hAnsi="宋体" w:eastAsia="宋体" w:cs="宋体"/>
            <w:sz w:val="18"/>
            <w:szCs w:val="18"/>
          </w:rPr>
          <w:fldChar w:fldCharType="separate"/>
        </w:r>
        <w:r>
          <w:rPr>
            <w:rFonts w:hint="eastAsia" w:ascii="宋体" w:hAnsi="宋体" w:eastAsia="宋体" w:cs="宋体"/>
            <w:sz w:val="18"/>
            <w:szCs w:val="18"/>
          </w:rPr>
          <w:t>1</w:t>
        </w:r>
        <w:r>
          <w:rPr>
            <w:rFonts w:hint="eastAsia" w:ascii="宋体" w:hAnsi="宋体" w:eastAsia="宋体" w:cs="宋体"/>
            <w:sz w:val="18"/>
            <w:szCs w:val="18"/>
          </w:rPr>
          <w:fldChar w:fldCharType="end"/>
        </w:r>
        <w:r>
          <w:rPr>
            <w:rFonts w:hint="eastAsia" w:ascii="宋体" w:hAnsi="宋体" w:eastAsia="宋体" w:cs="宋体"/>
            <w:sz w:val="18"/>
            <w:szCs w:val="18"/>
            <w:lang w:val="zh-CN"/>
          </w:rPr>
          <w:t xml:space="preserve"> /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NUMPAGES  </w:instrText>
        </w:r>
        <w:r>
          <w:rPr>
            <w:rFonts w:hint="eastAsia" w:ascii="宋体" w:hAnsi="宋体" w:eastAsia="宋体" w:cs="宋体"/>
            <w:sz w:val="18"/>
            <w:szCs w:val="18"/>
          </w:rPr>
          <w:fldChar w:fldCharType="separate"/>
        </w:r>
        <w:r>
          <w:rPr>
            <w:rFonts w:hint="eastAsia" w:ascii="宋体" w:hAnsi="宋体" w:eastAsia="宋体" w:cs="宋体"/>
            <w:sz w:val="18"/>
            <w:szCs w:val="18"/>
          </w:rPr>
          <w:t>1</w:t>
        </w:r>
        <w:r>
          <w:rPr>
            <w:rFonts w:hint="eastAsia" w:ascii="宋体" w:hAnsi="宋体" w:eastAsia="宋体" w:cs="宋体"/>
            <w:sz w:val="18"/>
            <w:szCs w:val="18"/>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612EC"/>
    <w:multiLevelType w:val="singleLevel"/>
    <w:tmpl w:val="90A612EC"/>
    <w:lvl w:ilvl="0" w:tentative="0">
      <w:start w:val="1"/>
      <w:numFmt w:val="decimal"/>
      <w:suff w:val="nothing"/>
      <w:lvlText w:val="%1、"/>
      <w:lvlJc w:val="left"/>
    </w:lvl>
  </w:abstractNum>
  <w:abstractNum w:abstractNumId="1">
    <w:nsid w:val="9F8656D6"/>
    <w:multiLevelType w:val="singleLevel"/>
    <w:tmpl w:val="9F8656D6"/>
    <w:lvl w:ilvl="0" w:tentative="0">
      <w:start w:val="1"/>
      <w:numFmt w:val="decimalEnclosedCircleChinese"/>
      <w:suff w:val="nothing"/>
      <w:lvlText w:val="%1　"/>
      <w:lvlJc w:val="left"/>
      <w:pPr>
        <w:ind w:left="0" w:firstLine="400"/>
      </w:pPr>
      <w:rPr>
        <w:rFonts w:hint="eastAsia"/>
      </w:rPr>
    </w:lvl>
  </w:abstractNum>
  <w:abstractNum w:abstractNumId="2">
    <w:nsid w:val="B8665357"/>
    <w:multiLevelType w:val="singleLevel"/>
    <w:tmpl w:val="B8665357"/>
    <w:lvl w:ilvl="0" w:tentative="0">
      <w:start w:val="1"/>
      <w:numFmt w:val="decimalEnclosedCircleChinese"/>
      <w:suff w:val="nothing"/>
      <w:lvlText w:val="%1　"/>
      <w:lvlJc w:val="left"/>
      <w:pPr>
        <w:ind w:left="0" w:firstLine="400"/>
      </w:pPr>
      <w:rPr>
        <w:rFonts w:hint="eastAsia"/>
      </w:rPr>
    </w:lvl>
  </w:abstractNum>
  <w:abstractNum w:abstractNumId="3">
    <w:nsid w:val="BA651CB7"/>
    <w:multiLevelType w:val="singleLevel"/>
    <w:tmpl w:val="BA651CB7"/>
    <w:lvl w:ilvl="0" w:tentative="0">
      <w:start w:val="1"/>
      <w:numFmt w:val="decimal"/>
      <w:suff w:val="nothing"/>
      <w:lvlText w:val="%1、"/>
      <w:lvlJc w:val="left"/>
      <w:pPr>
        <w:tabs>
          <w:tab w:val="left" w:pos="0"/>
        </w:tabs>
      </w:pPr>
      <w:rPr>
        <w:rFonts w:hint="default"/>
      </w:rPr>
    </w:lvl>
  </w:abstractNum>
  <w:abstractNum w:abstractNumId="4">
    <w:nsid w:val="BDF5BE7C"/>
    <w:multiLevelType w:val="singleLevel"/>
    <w:tmpl w:val="BDF5BE7C"/>
    <w:lvl w:ilvl="0" w:tentative="0">
      <w:start w:val="1"/>
      <w:numFmt w:val="decimal"/>
      <w:suff w:val="nothing"/>
      <w:lvlText w:val="%1、"/>
      <w:lvlJc w:val="left"/>
    </w:lvl>
  </w:abstractNum>
  <w:abstractNum w:abstractNumId="5">
    <w:nsid w:val="CB10CFD0"/>
    <w:multiLevelType w:val="singleLevel"/>
    <w:tmpl w:val="CB10CFD0"/>
    <w:lvl w:ilvl="0" w:tentative="0">
      <w:start w:val="1"/>
      <w:numFmt w:val="chineseCounting"/>
      <w:suff w:val="nothing"/>
      <w:lvlText w:val="%1、"/>
      <w:lvlJc w:val="left"/>
      <w:rPr>
        <w:rFonts w:hint="eastAsia"/>
      </w:rPr>
    </w:lvl>
  </w:abstractNum>
  <w:abstractNum w:abstractNumId="6">
    <w:nsid w:val="DE2E49F2"/>
    <w:multiLevelType w:val="singleLevel"/>
    <w:tmpl w:val="DE2E49F2"/>
    <w:lvl w:ilvl="0" w:tentative="0">
      <w:start w:val="1"/>
      <w:numFmt w:val="chineseCounting"/>
      <w:suff w:val="nothing"/>
      <w:lvlText w:val="（%1）"/>
      <w:lvlJc w:val="left"/>
      <w:pPr>
        <w:ind w:left="0" w:firstLine="420"/>
      </w:pPr>
      <w:rPr>
        <w:rFonts w:hint="eastAsia"/>
      </w:rPr>
    </w:lvl>
  </w:abstractNum>
  <w:abstractNum w:abstractNumId="7">
    <w:nsid w:val="E8BD7050"/>
    <w:multiLevelType w:val="singleLevel"/>
    <w:tmpl w:val="E8BD7050"/>
    <w:lvl w:ilvl="0" w:tentative="0">
      <w:start w:val="1"/>
      <w:numFmt w:val="decimal"/>
      <w:suff w:val="nothing"/>
      <w:lvlText w:val="%1、"/>
      <w:lvlJc w:val="left"/>
      <w:pPr>
        <w:tabs>
          <w:tab w:val="left" w:pos="0"/>
        </w:tabs>
      </w:pPr>
      <w:rPr>
        <w:rFonts w:hint="default"/>
      </w:rPr>
    </w:lvl>
  </w:abstractNum>
  <w:abstractNum w:abstractNumId="8">
    <w:nsid w:val="EA74A123"/>
    <w:multiLevelType w:val="singleLevel"/>
    <w:tmpl w:val="EA74A123"/>
    <w:lvl w:ilvl="0" w:tentative="0">
      <w:start w:val="1"/>
      <w:numFmt w:val="decimalEnclosedCircleChinese"/>
      <w:suff w:val="nothing"/>
      <w:lvlText w:val="%1　"/>
      <w:lvlJc w:val="left"/>
      <w:pPr>
        <w:ind w:left="0" w:firstLine="400"/>
      </w:pPr>
      <w:rPr>
        <w:rFonts w:hint="eastAsia"/>
      </w:rPr>
    </w:lvl>
  </w:abstractNum>
  <w:abstractNum w:abstractNumId="9">
    <w:nsid w:val="F0BFA560"/>
    <w:multiLevelType w:val="singleLevel"/>
    <w:tmpl w:val="F0BFA560"/>
    <w:lvl w:ilvl="0" w:tentative="0">
      <w:start w:val="1"/>
      <w:numFmt w:val="decimal"/>
      <w:suff w:val="nothing"/>
      <w:lvlText w:val="%1、"/>
      <w:lvlJc w:val="left"/>
      <w:pPr>
        <w:tabs>
          <w:tab w:val="left" w:pos="0"/>
        </w:tabs>
      </w:pPr>
      <w:rPr>
        <w:rFonts w:hint="default"/>
      </w:rPr>
    </w:lvl>
  </w:abstractNum>
  <w:abstractNum w:abstractNumId="10">
    <w:nsid w:val="0A1C43B8"/>
    <w:multiLevelType w:val="singleLevel"/>
    <w:tmpl w:val="0A1C43B8"/>
    <w:lvl w:ilvl="0" w:tentative="0">
      <w:start w:val="1"/>
      <w:numFmt w:val="decimal"/>
      <w:suff w:val="nothing"/>
      <w:lvlText w:val="%1、"/>
      <w:lvlJc w:val="left"/>
      <w:pPr>
        <w:tabs>
          <w:tab w:val="left" w:pos="0"/>
        </w:tabs>
      </w:pPr>
      <w:rPr>
        <w:rFonts w:hint="default"/>
      </w:rPr>
    </w:lvl>
  </w:abstractNum>
  <w:abstractNum w:abstractNumId="11">
    <w:nsid w:val="2B5416F3"/>
    <w:multiLevelType w:val="singleLevel"/>
    <w:tmpl w:val="2B5416F3"/>
    <w:lvl w:ilvl="0" w:tentative="0">
      <w:start w:val="1"/>
      <w:numFmt w:val="decimal"/>
      <w:suff w:val="nothing"/>
      <w:lvlText w:val="%1、"/>
      <w:lvlJc w:val="left"/>
      <w:pPr>
        <w:tabs>
          <w:tab w:val="left" w:pos="0"/>
        </w:tabs>
      </w:pPr>
      <w:rPr>
        <w:rFonts w:hint="default"/>
      </w:rPr>
    </w:lvl>
  </w:abstractNum>
  <w:abstractNum w:abstractNumId="12">
    <w:nsid w:val="2E2D0E95"/>
    <w:multiLevelType w:val="singleLevel"/>
    <w:tmpl w:val="2E2D0E95"/>
    <w:lvl w:ilvl="0" w:tentative="0">
      <w:start w:val="1"/>
      <w:numFmt w:val="decimal"/>
      <w:suff w:val="nothing"/>
      <w:lvlText w:val="%1、"/>
      <w:lvlJc w:val="left"/>
    </w:lvl>
  </w:abstractNum>
  <w:abstractNum w:abstractNumId="13">
    <w:nsid w:val="2E840CBB"/>
    <w:multiLevelType w:val="singleLevel"/>
    <w:tmpl w:val="2E840CBB"/>
    <w:lvl w:ilvl="0" w:tentative="0">
      <w:start w:val="1"/>
      <w:numFmt w:val="decimalEnclosedCircleChinese"/>
      <w:suff w:val="nothing"/>
      <w:lvlText w:val="%1　"/>
      <w:lvlJc w:val="left"/>
      <w:pPr>
        <w:ind w:left="0" w:firstLine="400"/>
      </w:pPr>
      <w:rPr>
        <w:rFonts w:hint="eastAsia"/>
      </w:rPr>
    </w:lvl>
  </w:abstractNum>
  <w:abstractNum w:abstractNumId="14">
    <w:nsid w:val="3016908B"/>
    <w:multiLevelType w:val="singleLevel"/>
    <w:tmpl w:val="3016908B"/>
    <w:lvl w:ilvl="0" w:tentative="0">
      <w:start w:val="1"/>
      <w:numFmt w:val="chineseCounting"/>
      <w:suff w:val="nothing"/>
      <w:lvlText w:val="（%1）"/>
      <w:lvlJc w:val="left"/>
      <w:pPr>
        <w:ind w:left="0" w:firstLine="420"/>
      </w:pPr>
      <w:rPr>
        <w:rFonts w:hint="eastAsia"/>
      </w:rPr>
    </w:lvl>
  </w:abstractNum>
  <w:abstractNum w:abstractNumId="15">
    <w:nsid w:val="31B1116A"/>
    <w:multiLevelType w:val="singleLevel"/>
    <w:tmpl w:val="31B1116A"/>
    <w:lvl w:ilvl="0" w:tentative="0">
      <w:start w:val="1"/>
      <w:numFmt w:val="decimal"/>
      <w:suff w:val="nothing"/>
      <w:lvlText w:val="%1、"/>
      <w:lvlJc w:val="left"/>
      <w:pPr>
        <w:tabs>
          <w:tab w:val="left" w:pos="0"/>
        </w:tabs>
      </w:pPr>
      <w:rPr>
        <w:rFonts w:hint="default"/>
      </w:rPr>
    </w:lvl>
  </w:abstractNum>
  <w:abstractNum w:abstractNumId="16">
    <w:nsid w:val="36AFD5A0"/>
    <w:multiLevelType w:val="singleLevel"/>
    <w:tmpl w:val="36AFD5A0"/>
    <w:lvl w:ilvl="0" w:tentative="0">
      <w:start w:val="1"/>
      <w:numFmt w:val="decimalEnclosedCircleChinese"/>
      <w:suff w:val="nothing"/>
      <w:lvlText w:val="%1　"/>
      <w:lvlJc w:val="left"/>
      <w:pPr>
        <w:ind w:left="0" w:firstLine="400"/>
      </w:pPr>
      <w:rPr>
        <w:rFonts w:hint="eastAsia"/>
      </w:rPr>
    </w:lvl>
  </w:abstractNum>
  <w:abstractNum w:abstractNumId="17">
    <w:nsid w:val="47C471F2"/>
    <w:multiLevelType w:val="singleLevel"/>
    <w:tmpl w:val="47C471F2"/>
    <w:lvl w:ilvl="0" w:tentative="0">
      <w:start w:val="1"/>
      <w:numFmt w:val="decimalEnclosedCircleChinese"/>
      <w:suff w:val="nothing"/>
      <w:lvlText w:val="%1　"/>
      <w:lvlJc w:val="left"/>
      <w:pPr>
        <w:ind w:left="0" w:firstLine="400"/>
      </w:pPr>
      <w:rPr>
        <w:rFonts w:hint="eastAsia"/>
      </w:rPr>
    </w:lvl>
  </w:abstractNum>
  <w:abstractNum w:abstractNumId="18">
    <w:nsid w:val="4CC8B37B"/>
    <w:multiLevelType w:val="singleLevel"/>
    <w:tmpl w:val="4CC8B37B"/>
    <w:lvl w:ilvl="0" w:tentative="0">
      <w:start w:val="1"/>
      <w:numFmt w:val="chineseCounting"/>
      <w:suff w:val="nothing"/>
      <w:lvlText w:val="（%1）"/>
      <w:lvlJc w:val="left"/>
      <w:pPr>
        <w:ind w:left="0" w:firstLine="420"/>
      </w:pPr>
      <w:rPr>
        <w:rFonts w:hint="eastAsia"/>
      </w:rPr>
    </w:lvl>
  </w:abstractNum>
  <w:abstractNum w:abstractNumId="19">
    <w:nsid w:val="4CE2ED83"/>
    <w:multiLevelType w:val="singleLevel"/>
    <w:tmpl w:val="4CE2ED83"/>
    <w:lvl w:ilvl="0" w:tentative="0">
      <w:start w:val="1"/>
      <w:numFmt w:val="bullet"/>
      <w:lvlText w:val=""/>
      <w:lvlJc w:val="left"/>
      <w:pPr>
        <w:ind w:left="420" w:hanging="420"/>
      </w:pPr>
      <w:rPr>
        <w:rFonts w:hint="default" w:ascii="Wingdings" w:hAnsi="Wingdings"/>
      </w:rPr>
    </w:lvl>
  </w:abstractNum>
  <w:abstractNum w:abstractNumId="20">
    <w:nsid w:val="4DB6B4E9"/>
    <w:multiLevelType w:val="singleLevel"/>
    <w:tmpl w:val="4DB6B4E9"/>
    <w:lvl w:ilvl="0" w:tentative="0">
      <w:start w:val="1"/>
      <w:numFmt w:val="decimalEnclosedCircleChinese"/>
      <w:suff w:val="nothing"/>
      <w:lvlText w:val="%1　"/>
      <w:lvlJc w:val="left"/>
      <w:pPr>
        <w:ind w:left="0" w:firstLine="400"/>
      </w:pPr>
      <w:rPr>
        <w:rFonts w:hint="eastAsia"/>
      </w:rPr>
    </w:lvl>
  </w:abstractNum>
  <w:abstractNum w:abstractNumId="21">
    <w:nsid w:val="5ECA9B3B"/>
    <w:multiLevelType w:val="singleLevel"/>
    <w:tmpl w:val="5ECA9B3B"/>
    <w:lvl w:ilvl="0" w:tentative="0">
      <w:start w:val="1"/>
      <w:numFmt w:val="decimalEnclosedCircleChinese"/>
      <w:suff w:val="nothing"/>
      <w:lvlText w:val="%1　"/>
      <w:lvlJc w:val="left"/>
      <w:pPr>
        <w:ind w:left="0" w:firstLine="400"/>
      </w:pPr>
      <w:rPr>
        <w:rFonts w:hint="eastAsia"/>
      </w:rPr>
    </w:lvl>
  </w:abstractNum>
  <w:abstractNum w:abstractNumId="22">
    <w:nsid w:val="61D95E6A"/>
    <w:multiLevelType w:val="singleLevel"/>
    <w:tmpl w:val="61D95E6A"/>
    <w:lvl w:ilvl="0" w:tentative="0">
      <w:start w:val="1"/>
      <w:numFmt w:val="decimal"/>
      <w:suff w:val="nothing"/>
      <w:lvlText w:val="%1、"/>
      <w:lvlJc w:val="left"/>
    </w:lvl>
  </w:abstractNum>
  <w:abstractNum w:abstractNumId="23">
    <w:nsid w:val="65DA7F6D"/>
    <w:multiLevelType w:val="singleLevel"/>
    <w:tmpl w:val="65DA7F6D"/>
    <w:lvl w:ilvl="0" w:tentative="0">
      <w:start w:val="1"/>
      <w:numFmt w:val="decimalEnclosedCircleChinese"/>
      <w:suff w:val="nothing"/>
      <w:lvlText w:val="%1　"/>
      <w:lvlJc w:val="left"/>
      <w:pPr>
        <w:ind w:left="0" w:firstLine="400"/>
      </w:pPr>
      <w:rPr>
        <w:rFonts w:hint="eastAsia"/>
      </w:rPr>
    </w:lvl>
  </w:abstractNum>
  <w:num w:numId="1">
    <w:abstractNumId w:val="5"/>
  </w:num>
  <w:num w:numId="2">
    <w:abstractNumId w:val="12"/>
  </w:num>
  <w:num w:numId="3">
    <w:abstractNumId w:val="19"/>
  </w:num>
  <w:num w:numId="4">
    <w:abstractNumId w:val="6"/>
  </w:num>
  <w:num w:numId="5">
    <w:abstractNumId w:val="4"/>
  </w:num>
  <w:num w:numId="6">
    <w:abstractNumId w:val="13"/>
  </w:num>
  <w:num w:numId="7">
    <w:abstractNumId w:val="10"/>
  </w:num>
  <w:num w:numId="8">
    <w:abstractNumId w:val="20"/>
  </w:num>
  <w:num w:numId="9">
    <w:abstractNumId w:val="3"/>
  </w:num>
  <w:num w:numId="10">
    <w:abstractNumId w:val="16"/>
  </w:num>
  <w:num w:numId="11">
    <w:abstractNumId w:val="14"/>
  </w:num>
  <w:num w:numId="12">
    <w:abstractNumId w:val="0"/>
  </w:num>
  <w:num w:numId="13">
    <w:abstractNumId w:val="23"/>
  </w:num>
  <w:num w:numId="14">
    <w:abstractNumId w:val="15"/>
  </w:num>
  <w:num w:numId="15">
    <w:abstractNumId w:val="21"/>
  </w:num>
  <w:num w:numId="16">
    <w:abstractNumId w:val="9"/>
  </w:num>
  <w:num w:numId="17">
    <w:abstractNumId w:val="8"/>
  </w:num>
  <w:num w:numId="18">
    <w:abstractNumId w:val="18"/>
  </w:num>
  <w:num w:numId="19">
    <w:abstractNumId w:val="22"/>
  </w:num>
  <w:num w:numId="20">
    <w:abstractNumId w:val="1"/>
  </w:num>
  <w:num w:numId="21">
    <w:abstractNumId w:val="11"/>
  </w:num>
  <w:num w:numId="22">
    <w:abstractNumId w:val="17"/>
  </w:num>
  <w:num w:numId="23">
    <w:abstractNumId w:val="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VlNzk3MDJhNDUxMGE2NWEyNDlhZTBlYTJlMTdkYjMifQ=="/>
  </w:docVars>
  <w:rsids>
    <w:rsidRoot w:val="00000000"/>
    <w:rsid w:val="034E27E3"/>
    <w:rsid w:val="04131FCE"/>
    <w:rsid w:val="043E250D"/>
    <w:rsid w:val="05910022"/>
    <w:rsid w:val="0CA66B96"/>
    <w:rsid w:val="0CC41F2E"/>
    <w:rsid w:val="101031F8"/>
    <w:rsid w:val="119D3EA8"/>
    <w:rsid w:val="128D40E6"/>
    <w:rsid w:val="192F229C"/>
    <w:rsid w:val="1B2C37FB"/>
    <w:rsid w:val="1C7B78DC"/>
    <w:rsid w:val="1CAF55D6"/>
    <w:rsid w:val="20484832"/>
    <w:rsid w:val="23311E82"/>
    <w:rsid w:val="243D5BA6"/>
    <w:rsid w:val="271F202B"/>
    <w:rsid w:val="29BF3AB4"/>
    <w:rsid w:val="2E8D2040"/>
    <w:rsid w:val="30393E95"/>
    <w:rsid w:val="33FA3F36"/>
    <w:rsid w:val="37D63426"/>
    <w:rsid w:val="38AD5420"/>
    <w:rsid w:val="3C963B0C"/>
    <w:rsid w:val="3DFB3040"/>
    <w:rsid w:val="3E176CE7"/>
    <w:rsid w:val="3F963AE3"/>
    <w:rsid w:val="40C37309"/>
    <w:rsid w:val="41205D61"/>
    <w:rsid w:val="42E50D63"/>
    <w:rsid w:val="43D07D03"/>
    <w:rsid w:val="44743CCA"/>
    <w:rsid w:val="466D6389"/>
    <w:rsid w:val="48126136"/>
    <w:rsid w:val="4ABC29D1"/>
    <w:rsid w:val="4C5A5285"/>
    <w:rsid w:val="4E535370"/>
    <w:rsid w:val="4E7A7553"/>
    <w:rsid w:val="506504B5"/>
    <w:rsid w:val="510B38E4"/>
    <w:rsid w:val="594F426F"/>
    <w:rsid w:val="5AE70D7F"/>
    <w:rsid w:val="5AE96F8D"/>
    <w:rsid w:val="5B1D0F76"/>
    <w:rsid w:val="5E062353"/>
    <w:rsid w:val="5E2529FD"/>
    <w:rsid w:val="60A47206"/>
    <w:rsid w:val="623A2D83"/>
    <w:rsid w:val="63595AE9"/>
    <w:rsid w:val="64A71491"/>
    <w:rsid w:val="64B25563"/>
    <w:rsid w:val="69363130"/>
    <w:rsid w:val="694135A8"/>
    <w:rsid w:val="6A5F26F2"/>
    <w:rsid w:val="6BC70F7F"/>
    <w:rsid w:val="70C67C6F"/>
    <w:rsid w:val="71221098"/>
    <w:rsid w:val="738D796F"/>
    <w:rsid w:val="73ED17C0"/>
    <w:rsid w:val="73F720C5"/>
    <w:rsid w:val="74A075B4"/>
    <w:rsid w:val="77856C91"/>
    <w:rsid w:val="77ED4FE7"/>
    <w:rsid w:val="785F4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5841</Words>
  <Characters>7926</Characters>
  <Lines>0</Lines>
  <Paragraphs>0</Paragraphs>
  <TotalTime>66</TotalTime>
  <ScaleCrop>false</ScaleCrop>
  <LinksUpToDate>false</LinksUpToDate>
  <CharactersWithSpaces>8365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dfj</dc:creator>
  <cp:lastModifiedBy>123</cp:lastModifiedBy>
  <dcterms:modified xsi:type="dcterms:W3CDTF">2023-12-14T02:47:06Z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D7532C6C20134AC28B5C00E358FDD577</vt:lpwstr>
  </property>
</Properties>
</file>