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文件号：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MS-002.10W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037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Times New Roman"/>
          <w:b/>
          <w:bCs/>
          <w:sz w:val="52"/>
          <w:szCs w:val="52"/>
        </w:rPr>
        <w:t>MS-</w:t>
      </w:r>
      <w:r>
        <w:rPr>
          <w:rFonts w:cs="Times New Roman"/>
          <w:b/>
          <w:bCs/>
          <w:sz w:val="52"/>
          <w:szCs w:val="52"/>
        </w:rPr>
        <w:t>002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  <w:t>使用风险分析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产品型号：Navolution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1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编制/日期：</w:t>
            </w:r>
          </w:p>
        </w:tc>
        <w:tc>
          <w:tcPr>
            <w:tcW w:w="450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?.?往后放三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阶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详设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洪洁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李明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hAnsi="宋体"/>
          <w:b/>
          <w:szCs w:val="21"/>
        </w:rPr>
        <w:t>杭州三坛医疗科技有限公司</w:t>
      </w:r>
    </w:p>
    <w:p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227"/>
        <w:gridCol w:w="3533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306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</w:t>
            </w:r>
            <w:r>
              <w:rPr>
                <w:rFonts w:ascii="Times New Roman" w:hAnsi="Times New Roman" w:cs="Times New Roman"/>
                <w:bCs/>
                <w:szCs w:val="21"/>
              </w:rPr>
              <w:t>/</w:t>
            </w:r>
            <w:r>
              <w:rPr>
                <w:rFonts w:ascii="Times New Roman" w:hAnsi="宋体" w:cs="Times New Roman"/>
                <w:bCs/>
                <w:szCs w:val="21"/>
              </w:rPr>
              <w:t>实施日期</w:t>
            </w:r>
          </w:p>
        </w:tc>
        <w:tc>
          <w:tcPr>
            <w:tcW w:w="2072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95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vanish/>
                <w:color w:val="0000FF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??</w:t>
            </w: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iCs/>
        </w:rPr>
      </w:pPr>
      <w:r>
        <w:rPr>
          <w:rFonts w:hint="eastAsia"/>
          <w:iCs/>
        </w:rPr>
        <w:t>文档仅限产品（项目）组内流转，违者负相应法律责任。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50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_Toc9638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第一章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_Toc9638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1.2 </w:t>
          </w:r>
          <w:r>
            <w:rPr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_Toc22747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第二章 </w:t>
          </w:r>
          <w:r>
            <w:rPr>
              <w:rFonts w:hint="eastAsia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第三章 </w:t>
          </w:r>
          <w:r>
            <w:rPr>
              <w:rFonts w:hint="eastAsia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_Toc13081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第四章 </w:t>
          </w:r>
          <w:r>
            <w:rPr>
              <w:rFonts w:ascii="Times New Roman" w:hAnsi="Times New Roman" w:cs="Times New Roman"/>
            </w:rPr>
            <w:t>应用摘要</w:t>
          </w:r>
          <w:r>
            <w:tab/>
          </w:r>
          <w:r>
            <w:fldChar w:fldCharType="begin"/>
          </w:r>
          <w:r>
            <w:instrText xml:space="preserve"> PAGEREF _Toc11998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_Toc4199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ascii="Times New Roman" w:hAnsi="Times New Roman" w:cs="Times New Roman"/>
            </w:rPr>
            <w:t>预期用途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ascii="Times New Roman" w:hAnsi="Times New Roman" w:cs="Times New Roman"/>
            </w:rPr>
            <w:t>用户特征</w:t>
          </w:r>
          <w:r>
            <w:tab/>
          </w:r>
          <w:r>
            <w:fldChar w:fldCharType="begin"/>
          </w:r>
          <w:r>
            <w:instrText xml:space="preserve"> PAGEREF _Toc15791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第五章 </w:t>
          </w:r>
          <w:r>
            <w:rPr>
              <w:rFonts w:ascii="Times New Roman" w:hAnsi="Times New Roman" w:cs="Times New Roman"/>
            </w:rPr>
            <w:t>有可能出错的事项</w:t>
          </w:r>
          <w:r>
            <w:tab/>
          </w:r>
          <w:r>
            <w:fldChar w:fldCharType="begin"/>
          </w:r>
          <w:r>
            <w:instrText xml:space="preserve"> PAGEREF _Toc3804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5.1 </w:t>
          </w:r>
          <w:r>
            <w:rPr>
              <w:rFonts w:ascii="Times New Roman" w:hAnsi="Times New Roman" w:cs="Times New Roman"/>
            </w:rPr>
            <w:t>现场安装</w:t>
          </w:r>
          <w:r>
            <w:tab/>
          </w:r>
          <w:r>
            <w:fldChar w:fldCharType="begin"/>
          </w:r>
          <w:r>
            <w:instrText xml:space="preserve"> PAGEREF _Toc25655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5.2 </w:t>
          </w:r>
          <w:r>
            <w:rPr>
              <w:rFonts w:hint="eastAsia" w:ascii="宋体" w:hAnsi="宋体" w:cs="宋体"/>
            </w:rPr>
            <w:t>启动设备</w:t>
          </w:r>
          <w:r>
            <w:tab/>
          </w:r>
          <w:r>
            <w:fldChar w:fldCharType="begin"/>
          </w:r>
          <w:r>
            <w:instrText xml:space="preserve"> PAGEREF _Toc19884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5.3 </w:t>
          </w:r>
          <w:r>
            <w:rPr>
              <w:rFonts w:hint="eastAsia" w:ascii="宋体" w:hAnsi="宋体" w:cs="宋体"/>
            </w:rPr>
            <w:t>手术规划与执行</w:t>
          </w:r>
          <w:r>
            <w:tab/>
          </w:r>
          <w:r>
            <w:fldChar w:fldCharType="begin"/>
          </w:r>
          <w:r>
            <w:instrText xml:space="preserve"> PAGEREF _Toc18475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5.4 </w:t>
          </w:r>
          <w:r>
            <w:rPr>
              <w:rFonts w:hint="eastAsia" w:ascii="宋体" w:hAnsi="宋体" w:cs="宋体"/>
            </w:rPr>
            <w:t>关闭系统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5.5 </w:t>
          </w:r>
          <w:r>
            <w:rPr>
              <w:rFonts w:hint="eastAsia" w:ascii="宋体" w:hAnsi="宋体" w:cs="宋体"/>
            </w:rPr>
            <w:t>基于配准板的X光注册和图像配准</w:t>
          </w:r>
          <w:r>
            <w:tab/>
          </w:r>
          <w:r>
            <w:fldChar w:fldCharType="begin"/>
          </w:r>
          <w:r>
            <w:instrText xml:space="preserve"> PAGEREF _Toc28834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5.6 </w:t>
          </w:r>
          <w:r>
            <w:rPr>
              <w:rFonts w:hint="eastAsia" w:ascii="宋体" w:hAnsi="宋体" w:cs="宋体"/>
              <w:bCs/>
            </w:rPr>
            <w:t>机械臂末端按钮控制通道升降</w:t>
          </w:r>
          <w:r>
            <w:tab/>
          </w:r>
          <w:r>
            <w:fldChar w:fldCharType="begin"/>
          </w:r>
          <w:r>
            <w:instrText xml:space="preserve"> PAGEREF _Toc7226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5.7 </w:t>
          </w:r>
          <w:r>
            <w:rPr>
              <w:rFonts w:hint="eastAsia" w:ascii="宋体" w:hAnsi="宋体" w:cs="宋体"/>
            </w:rPr>
            <w:t>工具灭菌</w:t>
          </w:r>
          <w:r>
            <w:tab/>
          </w:r>
          <w:r>
            <w:fldChar w:fldCharType="begin"/>
          </w:r>
          <w:r>
            <w:instrText xml:space="preserve"> PAGEREF _Toc3927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5.8 </w:t>
          </w:r>
          <w:r>
            <w:rPr>
              <w:rFonts w:hint="eastAsia" w:ascii="宋体" w:hAnsi="宋体" w:cs="宋体"/>
            </w:rPr>
            <w:t>紧急停止</w:t>
          </w:r>
          <w:r>
            <w:tab/>
          </w:r>
          <w:r>
            <w:fldChar w:fldCharType="begin"/>
          </w:r>
          <w:r>
            <w:instrText xml:space="preserve"> PAGEREF _Toc261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5.9 </w:t>
          </w:r>
          <w:r>
            <w:rPr>
              <w:rFonts w:hint="eastAsia" w:ascii="宋体" w:hAnsi="宋体" w:cs="宋体"/>
            </w:rPr>
            <w:t>UPS供电</w:t>
          </w:r>
          <w:r>
            <w:tab/>
          </w:r>
          <w:r>
            <w:fldChar w:fldCharType="begin"/>
          </w:r>
          <w:r>
            <w:instrText xml:space="preserve"> PAGEREF _Toc1241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jc w:val="both"/>
        <w:rPr>
          <w:sz w:val="24"/>
        </w:rPr>
      </w:pPr>
      <w:bookmarkStart w:id="0" w:name="_Toc9638"/>
      <w:r>
        <w:rPr>
          <w:rFonts w:hint="eastAsia"/>
          <w:sz w:val="24"/>
        </w:rPr>
        <w:t>引言</w:t>
      </w:r>
      <w:bookmarkEnd w:id="0"/>
    </w:p>
    <w:p>
      <w:pPr>
        <w:pStyle w:val="4"/>
        <w:rPr>
          <w:sz w:val="24"/>
        </w:rPr>
      </w:pPr>
      <w:bookmarkStart w:id="1" w:name="_Toc961"/>
      <w:r>
        <w:rPr>
          <w:rFonts w:hint="eastAsia"/>
          <w:sz w:val="24"/>
        </w:rPr>
        <w:t>编写目的</w:t>
      </w:r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依照《可用性工程对医疗器械的应用》，编写骨科手术导航定位系统的《使用风险分析》，用于识别器械使用过程中的用户动作，尤其是有可能导致错误的事项，以识别已知的和可预见的用户接口有关的危险(源)和危险情况。</w:t>
      </w:r>
    </w:p>
    <w:p>
      <w:pPr>
        <w:pStyle w:val="4"/>
        <w:rPr>
          <w:sz w:val="24"/>
        </w:rPr>
      </w:pPr>
      <w:bookmarkStart w:id="2" w:name="_Toc22747"/>
      <w:r>
        <w:rPr>
          <w:rFonts w:hint="eastAsia"/>
          <w:sz w:val="24"/>
        </w:rPr>
        <w:t>适用范围</w:t>
      </w:r>
      <w:bookmarkEnd w:id="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适用于M</w:t>
      </w:r>
      <w:r>
        <w:rPr>
          <w:sz w:val="24"/>
        </w:rPr>
        <w:t>S-002</w:t>
      </w:r>
      <w:r>
        <w:rPr>
          <w:rFonts w:hint="eastAsia"/>
          <w:sz w:val="24"/>
        </w:rPr>
        <w:t>的可用性规范的输入。</w:t>
      </w:r>
      <w:bookmarkStart w:id="67" w:name="_GoBack"/>
      <w:bookmarkEnd w:id="67"/>
    </w:p>
    <w:p>
      <w:pPr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jc w:val="both"/>
        <w:rPr>
          <w:sz w:val="24"/>
        </w:rPr>
      </w:pPr>
      <w:bookmarkStart w:id="3" w:name="_Toc10434"/>
      <w:r>
        <w:rPr>
          <w:rFonts w:hint="eastAsia"/>
          <w:sz w:val="24"/>
        </w:rPr>
        <w:t>引用</w:t>
      </w:r>
      <w:bookmarkEnd w:id="3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338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</w:t>
            </w:r>
          </w:p>
        </w:tc>
        <w:tc>
          <w:tcPr>
            <w:tcW w:w="5292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1474-2016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 可用性工程对医疗器械的应用》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IEC/TR 62366-2:2016</w:t>
            </w:r>
          </w:p>
        </w:tc>
        <w:tc>
          <w:tcPr>
            <w:tcW w:w="5292" w:type="dxa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sz w:val="24"/>
              </w:rPr>
              <w:t>Medical devices — Part 2: Guidance on the application of usability engineering to medical devices</w:t>
            </w:r>
            <w:r>
              <w:rPr>
                <w:rFonts w:hint="eastAsia"/>
                <w:sz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9706.106-2021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《医用电气设备 第1-6部分： 基本安全和基本性能的通用要求并列标准： 可用性》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《医疗器械人因设计技术审查指导原则（征求意见稿）》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《MS-002可用性应用规范》</w:t>
            </w:r>
          </w:p>
        </w:tc>
      </w:tr>
    </w:tbl>
    <w:p>
      <w:pPr>
        <w:pStyle w:val="2"/>
        <w:rPr>
          <w:sz w:val="24"/>
        </w:rPr>
      </w:pPr>
      <w:bookmarkStart w:id="4" w:name="_Toc13081"/>
      <w:r>
        <w:rPr>
          <w:rFonts w:hint="eastAsia"/>
          <w:sz w:val="24"/>
        </w:rPr>
        <w:t>术语和定义</w:t>
      </w:r>
      <w:bookmarkEnd w:id="4"/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无。</w:t>
      </w:r>
    </w:p>
    <w:p>
      <w:pPr>
        <w:pStyle w:val="2"/>
        <w:rPr>
          <w:rFonts w:ascii="Times New Roman" w:hAnsi="Times New Roman" w:cs="Times New Roman"/>
          <w:sz w:val="24"/>
        </w:rPr>
      </w:pPr>
      <w:bookmarkStart w:id="5" w:name="_Toc11998"/>
      <w:r>
        <w:rPr>
          <w:rFonts w:ascii="Times New Roman" w:hAnsi="Times New Roman" w:cs="Times New Roman"/>
          <w:sz w:val="24"/>
        </w:rPr>
        <w:t>应用摘要</w:t>
      </w:r>
      <w:bookmarkEnd w:id="5"/>
    </w:p>
    <w:p>
      <w:pPr>
        <w:pStyle w:val="4"/>
        <w:rPr>
          <w:rFonts w:ascii="Times New Roman" w:hAnsi="Times New Roman" w:cs="Times New Roman"/>
          <w:sz w:val="24"/>
        </w:rPr>
      </w:pPr>
      <w:bookmarkStart w:id="6" w:name="_Toc4199"/>
      <w:r>
        <w:rPr>
          <w:rFonts w:ascii="Times New Roman" w:hAnsi="Times New Roman" w:cs="Times New Roman"/>
          <w:sz w:val="24"/>
        </w:rPr>
        <w:t>预期用途</w:t>
      </w:r>
      <w:bookmarkEnd w:id="6"/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请参考《MS-002可用性应用规范》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15791"/>
      <w:r>
        <w:rPr>
          <w:rFonts w:ascii="Times New Roman" w:hAnsi="Times New Roman" w:cs="Times New Roman"/>
          <w:sz w:val="24"/>
        </w:rPr>
        <w:t>用户特征</w:t>
      </w:r>
      <w:bookmarkEnd w:id="7"/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请参考《MS-002可用性应用规范》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2"/>
        <w:rPr>
          <w:rFonts w:ascii="Times New Roman" w:hAnsi="Times New Roman" w:cs="Times New Roman"/>
          <w:sz w:val="24"/>
        </w:rPr>
      </w:pPr>
      <w:bookmarkStart w:id="8" w:name="_Toc3804"/>
      <w:r>
        <w:rPr>
          <w:rFonts w:ascii="Times New Roman" w:hAnsi="Times New Roman" w:cs="Times New Roman"/>
          <w:sz w:val="24"/>
        </w:rPr>
        <w:t>有可能出错的事项</w:t>
      </w:r>
      <w:bookmarkEnd w:id="8"/>
    </w:p>
    <w:p>
      <w:pPr>
        <w:pStyle w:val="4"/>
        <w:rPr>
          <w:rFonts w:ascii="Times New Roman" w:hAnsi="Times New Roman" w:cs="Times New Roman"/>
          <w:sz w:val="24"/>
        </w:rPr>
      </w:pPr>
      <w:bookmarkStart w:id="9" w:name="_Toc25655"/>
      <w:r>
        <w:rPr>
          <w:rFonts w:ascii="Times New Roman" w:hAnsi="Times New Roman" w:cs="Times New Roman"/>
          <w:sz w:val="24"/>
        </w:rPr>
        <w:t>现场安装</w:t>
      </w:r>
      <w:bookmarkEnd w:id="9"/>
    </w:p>
    <w:p>
      <w:pPr>
        <w:pStyle w:val="5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取出配件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从包装中取出显示器及其配件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bookmarkStart w:id="10" w:name="_Hlk145246099"/>
    </w:p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安装显示器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在显示器背面安装显示器转接件，然后将显示器转接件插入导航台车的显示器支架，锁上固定螺钉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螺钉紧固不到位，显示器转接件与显示器结合不稳定。显示器安装不到位，显示器可能松动或掉落。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显示器易掉落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1.说明书明确显示器需安装到位；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取出吊臂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从包装中取出吊臂，锁上固定螺钉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螺钉紧固不到位，吊臂结合不稳定。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吊臂易掉落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1.说明书明确吊臂需安装到位；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安装双目相机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从包装中取出双目相机，用四颗螺钉在其背面安装相机把手，再将相机把手安装在吊臂上，最后将吊臂上的网线插入双目相机背面的网口，并锁紧网线末端的安装螺母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吊臂安装不到位，吊臂可能松动或掉落；相机安装不到位，相机可能松动或掉落；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吊臂或相机易掉落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1.说明书明确吊臂级双目相机需安装到位；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bookmarkEnd w:id="10"/>
    <w:p>
      <w:pPr>
        <w:pStyle w:val="4"/>
        <w:rPr>
          <w:rFonts w:ascii="宋体" w:hAnsi="宋体" w:cs="宋体"/>
          <w:sz w:val="24"/>
        </w:rPr>
      </w:pPr>
      <w:bookmarkStart w:id="11" w:name="_Toc19884"/>
      <w:r>
        <w:rPr>
          <w:rFonts w:hint="eastAsia" w:ascii="宋体" w:hAnsi="宋体" w:cs="宋体"/>
          <w:sz w:val="24"/>
        </w:rPr>
        <w:t>启动设备</w:t>
      </w:r>
      <w:bookmarkEnd w:id="11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12" w:name="_Hlk145246177"/>
      <w:r>
        <w:rPr>
          <w:rFonts w:hint="eastAsia" w:ascii="宋体" w:hAnsi="宋体" w:cs="宋体"/>
          <w:b w:val="0"/>
          <w:bCs/>
          <w:sz w:val="24"/>
        </w:rPr>
        <w:t>接通网电源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分别针对导航台车，执行台车和操作台车，将电源线穿过固线器插入接线面板的电源开关的插座上，并拨动电源开关上的锁紧卡簧，锁住电源插头，用螺丝刀锁紧固线器。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三插供电插孔插座插错导致设备损坏；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设备无法正常使用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1.选用防呆电源插头；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2.增加提示标识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330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连接脚踏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将脚踏的插头插入接线面板的脚踏插座上，确认安装到位。导致设备无法正常使用，延误手术进程。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脚踏错误连接；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无法定位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1.选用防呆脚踏插头；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2.增加提示标识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331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连接C臂机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使用RJ-45网线一端接入C形臂X光机的RJ-45网口，另一端接入导航台车接线面板的任意RJ-45网口。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多个RJ-45网口，无法确定哪一个用于与C臂机X光机进行通讯。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 xml:space="preserve"> C臂机与导航台车网线接口无固定对应关系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2.设计C臂机实时状态图标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328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ind w:firstLine="420"/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连接执行台车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使用RJ-45网线一端接入执行台车接线面板的任意RJ-45网口，另一端接入导航台车接线面板的任意RJ-45网口。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多个RJ-45网口，</w:t>
            </w:r>
            <w:r>
              <w:rPr>
                <w:rFonts w:hint="eastAsia" w:ascii="宋体" w:hAnsi="宋体" w:cs="宋体"/>
                <w:sz w:val="24"/>
              </w:rPr>
              <w:t>无法确定哪一个用于与执行台车进行通讯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执行台车与导航台车网线接口无固定对应关系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选择具备防误踢的网络接口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设计机械臂实时状态图标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执行台车具有多个RJ-45网口，无法确定哪一个用于与导航台车进行通讯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执行台车与导航台车网线接口无固定对应关系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选择具备防误踢的网络接口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设计机械臂实时状态图标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连接操作台车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使用HDMI视频线的一端接入导航台车接线面板的HDMI接口，另一端接入操作台车接线面板的HDMI接口。</w:t>
      </w:r>
    </w:p>
    <w:p>
      <w:pPr>
        <w:ind w:firstLine="420"/>
        <w:rPr>
          <w:rFonts w:ascii="宋体" w:hAnsi="宋体" w:cs="宋体"/>
          <w:sz w:val="24"/>
        </w:rPr>
      </w:pP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导航台车开机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打开导航台车接线面板的【电源开关】，可以看到【电源】指示灯亮起，【UPS】指示灯亮起。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执行台车开机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打开执行台车接线面板的【电源开关】，可以看到【电源】指示灯亮起，【UPS】指示灯亮起。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操作台车开机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打开操作台车接线面板的【电源开关】，可以看到【电源】指示灯亮起。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开启机械臂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按下执行台车接线面板的【机械臂】开关，开关会亮蓝灯，等待约73秒机械臂会发出声响，表示机械臂完成连接和上电。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机械臂提示灯光造成用户误解。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3" w:name="_Hlk146122918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使用符合用户常识的颜色含义；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2.说明书中明确机械臂指示灯的含义</w:t>
            </w:r>
          </w:p>
          <w:bookmarkEnd w:id="1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40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网络参数设置错误，设备连接异常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设备无法控制机械臂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4" w:name="_Hlk1461230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说明书告知用户清晰机械臂网络参数；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  <w:bookmarkEnd w:id="14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脚轮操作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导航台车、执行台车与操作台车的四个脚轮均具备脚轮刹车装置。当台车位置确定后，请按下刹车装置确保台车脚轮处于锁定状态，防止台车位置意外变动。在需要移动台车时，请抬起刹车装置，确保脚轮处于解锁状态，便于移动台车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bookmarkEnd w:id="12"/>
    <w:p>
      <w:pPr>
        <w:pStyle w:val="4"/>
        <w:rPr>
          <w:rFonts w:ascii="宋体" w:hAnsi="宋体" w:cs="宋体"/>
          <w:sz w:val="24"/>
        </w:rPr>
      </w:pPr>
      <w:bookmarkStart w:id="15" w:name="_Toc18475"/>
      <w:r>
        <w:rPr>
          <w:rFonts w:hint="eastAsia" w:ascii="宋体" w:hAnsi="宋体" w:cs="宋体"/>
          <w:sz w:val="24"/>
        </w:rPr>
        <w:t>手术规划与执行</w:t>
      </w:r>
      <w:bookmarkEnd w:id="15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 xml:space="preserve">登录 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选择用户名，输入与用户名匹配的密码后点击【登录】，进入软件。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非授权人员操作设备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患者信息泄露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="等线 Regular" w:hAnsi="等线" w:eastAsia="等线 Regular" w:cs="宋体"/>
                <w:color w:val="000000"/>
                <w:kern w:val="0"/>
                <w:szCs w:val="28"/>
              </w:rPr>
            </w:pPr>
            <w:r>
              <w:rPr>
                <w:rFonts w:hint="eastAsia" w:ascii="等线 Regular" w:hAnsi="等线" w:eastAsia="等线 Regular"/>
                <w:color w:val="000000"/>
                <w:szCs w:val="28"/>
              </w:rPr>
              <w:t>泄露隐私信息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 xml:space="preserve"> 设计账号权限管理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新增病例/导入病例</w:t>
      </w:r>
    </w:p>
    <w:p>
      <w:pPr>
        <w:ind w:firstLine="42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手术开始前点击【新增病例】填写病例信息，内容包括患者姓名、患者性别、病历号、患者年龄、主刀医生、医院名称、备注和配准模式。患者姓名可以是汉字、数字和英文字母（含大小写），长度不超过12个字节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点击【下一步】，二维三维配准模式的病例进入CT导入界面，纯二维配准模式的病例则会进入术前准备界面。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用户活动未二次确认, 导致操作风险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 xml:space="preserve"> 用户未确认，无法进行后续操作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用户对导航相机精度检验的误差判断失误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导致定位位置不准确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.用户界面给出直观的判定结果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用户对C臂机配准板精度检验的误差判断失误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导致定位位置不准确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.用户界面给出直观的判定结果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b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导入CT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如果病例设定为二维三维配准模式，则需要选择患者的CT数据，进入CT导入界面。点击屏幕左上方的【导入CT】按钮，出现文件夹选择对话框，在对话框中选择CT序列所在中的文件夹，点击【加载】按钮。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从屏幕左侧的列表中选择需要的CT序列后，可在屏幕右侧的预览中查看数据内容，确认时需要的CT数据后，点击【下一步】进入下一个界面。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导入CT数据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导入CT有误，可能导致配准失败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导入CT界面设计患者信息确认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数据路径过长，数据导入失败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数据缺失，无法读取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说明书告知用户规范数据路径；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磁盘空间不足，数据导入失败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数据缺失，无法读取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16" w:name="_Hlk14612463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导入前设计检测磁盘空间容量；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设计磁盘空间小于完成一台手术的最大空间要求前报警。</w:t>
            </w:r>
          </w:p>
          <w:bookmarkEnd w:id="1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未对多序列CT数据进行区分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多序列CT导致数据混乱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7" w:name="_Hlk1461247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验证CT数据有效性</w:t>
            </w:r>
            <w:bookmarkEnd w:id="17"/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CT层厚过厚，CT图像不清晰, 配准相似等级不够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螺钉打偏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18" w:name="_Hlk14612479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检测CT数据层厚，过厚的数据用户界面提示；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2.说明书明确对CT数据层厚要求；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3.提供用户培训</w:t>
            </w:r>
          </w:p>
          <w:bookmarkEnd w:id="1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术前规划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CT数据显示在屏幕左侧的三个二维视图和一个三维视图中，左上方为横断位，左下方为冠状位，右上方为矢状位，右下方为三维视图，屏幕右侧显示按钮及螺钉列表。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屏幕右侧螺钉列表上方的【添加螺钉】，在屏幕左侧任意一张二维视图中，按下鼠标左键不释放，移动鼠标绘制一条直线，即可规划出一根螺钉，通过螺钉上的三个控制点可调整螺钉的位姿。绘制直线时起点为螺钉头端，终点为螺钉尾端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点击屏幕右侧顶部【长度】或【角度】按钮，可在二维视图中画出辅助线，显示相对长度或角度。点击【清除】可删除已画的辅助线。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屏幕右侧螺钉列表中，点击对应的表格单元，可修改螺钉的名称、颜色、长度、直径、样式、是否隐藏，点击【锁定螺钉/解锁螺钉】可对当前锁定螺钉进行锁定或解锁、点击【删除螺钉】可删除当前选中螺钉。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选择手术器械，包含选择工具包、选择C臂机、选择配准板，完成选择后点击【确认】。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窗宽窗位调整不熟练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视图显示异常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图像被移出视野范围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窗口丢失图像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用户误操作，产品规划错误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定位精度不够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对医学图像处理错误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系统匹配错误、手术路径规划错误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b/>
          <w:sz w:val="24"/>
        </w:rPr>
      </w:pPr>
    </w:p>
    <w:p>
      <w:pPr>
        <w:pStyle w:val="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术前准备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首先是选择手术器械，包含选择工具包、选择C臂机、选择配准板，完成选择后点击【确认】。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示踪器固定不牢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9" w:name="_Hlk14612531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设计稳定易安装的患者示踪器；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bookmarkEnd w:id="19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148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工具安装不规范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机械臂前端工具不准确,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20" w:name="_Hlk14612547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设计依据双目相机闭环控制；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bookmarkEnd w:id="20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工具参数错误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机械臂前端工具不准确,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1" w:name="_Hlk14612554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说明书明确工具选择意义和逻辑；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1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2" w:name="_Hlk14612600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</w:t>
            </w:r>
            <w:bookmarkEnd w:id="2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将平板C臂机配准板安装在C臂机上，并安装无菌罩，安装不到位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影响配准精度,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3" w:name="_Hlk14612601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将平板C臂机配准板安装在C臂机上，并安装无菌罩，安装不到位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配准板容易掉落，室温部分接触患者，可立即分离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说明书明确C臂机配准板及示踪器需安装牢固；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将机械臂无菌罩安装至机械臂台车，安装不到位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安装不到位，导致污染术区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4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4" w:name="_Hlk14612609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术前准备界面设计无菌罩安装动画；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说明书明确无菌罩需安装到位；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4"/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图像采集与注册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移动C臂机到合适位姿，对患者采集X光图像后，在C臂机端将图像发送至骨科手术规划与控制软件，本软件会首先进行图像校正，也就是对导入的二维图像的畸变失真进行校正，然后对校正后的图像进行自动注册，注册成功后显示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REF _Ref32375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STYLEREF 1 \s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-15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所示X片注册对话框。点击【确认】按钮，注册成功的X光图像会添加到【X片注册】界面下方的列表中。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详细的分析请参考 </w:t>
      </w:r>
      <w:r>
        <w:rPr>
          <w:rFonts w:ascii="宋体" w:hAnsi="宋体" w:cs="宋体"/>
          <w:sz w:val="24"/>
          <w:szCs w:val="24"/>
        </w:rPr>
        <w:t xml:space="preserve">5.5 </w:t>
      </w:r>
      <w:r>
        <w:rPr>
          <w:rFonts w:hint="eastAsia" w:ascii="宋体" w:hAnsi="宋体" w:cs="宋体"/>
          <w:sz w:val="24"/>
          <w:szCs w:val="24"/>
        </w:rPr>
        <w:t>节</w:t>
      </w: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图像配准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病例设定为二维三维配准模式，则需要将X光图片与CT图像进行融合，进入【图像配准】界面。窗口左侧显示第一张注册X光图像与CT图像DDR的叠加，窗口中间显示第二张注册X光图像与CT图像DDR的叠加，窗口右侧是CT图像微调面板，配准流程如下：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通过CT图像微调面板的平移和旋转按钮，调整CT图像位姿与X光图像进行粗配准，使得CT和X光图像大致配准；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箭头按钮：沿XY轴平移CT图像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旋转按钮：绕X轴的正向和反向旋转、绕Y轴的正向和反向旋转、绕Z轴的正向和反向旋转。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放大缩小按钮：沿Z轴平移CT图像。点击【框选】在其中一张图像上框选精配准区域，点击一次只能框选一个，框选两张图像需要分别点两次；【颜色】按钮可更换CT显示的颜色，【还原】按钮可使CT回到初始姿态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点击【配准】后进行自动配准；自动配准可能需要等待，此时会显示一个等待进度条。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完成配准后，如果配准结果不满足要求，可通过微调按钮进行继续微调；最后点击【播放】按钮，可循环查看配准结果。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完成配准后点击【下一步】进入下一界面。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图像配准不精确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配准错误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5" w:name="_Hlk14612673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以二维图像上的规划坐标为定位目标；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用户界面提示信息；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配图人员经验不足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配准精度不足，定位不准确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5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6" w:name="_Hlk14612686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X片规划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【X片规划】用于在术中规划或者调整螺钉，屏幕上方显示三张X光影像，就是【X片注册】界面中添加到列表中的三张成功注册的X光影像。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窗宽窗位调整不熟练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视图显示异常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图像被移出视野范围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窗口丢失图像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用户误操作，产品规划错误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定位精度不够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对医学图像处理错误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系统匹配错误、手术路径规划错误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定位导航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螺钉规划完成并确认规划正确后，进入【定位导航】界面。这个界面控制机械臂完成螺钉真实三维空间的精准定位。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按下执行台车上的【上升】按钮，直至台车脚撑落地，台车稳固。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在定位器中安装一级套筒。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在屏幕左下方的螺钉列表中选中一个螺钉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确认仿真后机械臂自动运行至目标位置，当机械臂信号灯变为绿色时表示运动到位，可观察屏幕中下方，左侧螺钉的实时入点偏差和出点偏差，也可通过X光图像中的绿色虚线直观观察其与规划螺钉的位姿关系。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安装一级套筒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,安装不到位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套筒掉落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7" w:name="_Hlk1461270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设计定位器与一级套筒的卡紧装置</w:t>
            </w:r>
          </w:p>
          <w:bookmarkEnd w:id="2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台车升起未到位，脚撑未着地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执行台车术中移动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8" w:name="_Hlk14612712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定位前用户界面提示台车需升起到位；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说明书明确台车需升起到位；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机械臂移动过程中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9" w:name="_Hlk14612718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设计机械臂姿态仿真功能；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提供脚踏控制机械臂，松开脚踏机械臂立即停止</w:t>
            </w:r>
          </w:p>
          <w:bookmarkEnd w:id="29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精度未达标就放开脚踏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定位误差较大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0" w:name="_Hlk14612733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设计机械臂信息提示和灯光提示；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说明书明确灯光提示含义；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30"/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操作者搞错升降、旋转方向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导致患者擦伤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31" w:name="_Hlk14612751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合理设计机械臂运动速度</w:t>
            </w:r>
          </w:p>
          <w:bookmarkEnd w:id="31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骨钻示踪器安装不到位，安装不牢固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导航位置不准确，影响用户判断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1.说明书明确骨钻示踪器需安装牢固；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骨钻标定误差较大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导航位置不准确，影响用户判断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32" w:name="_Hlk14612765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软件设计骨钻标定动画提示；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2.说明书明确骨钻需正确标定；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3.提供用户培训</w:t>
            </w:r>
            <w:bookmarkEnd w:id="32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骨钻显示与实际位置偏移过大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骨钻偏移过大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33" w:name="_Hlk146127958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设计骨钻偏移量实时显示</w:t>
            </w:r>
            <w:bookmarkEnd w:id="33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设备使用过程中误触急停按钮</w:t>
            </w:r>
          </w:p>
          <w:p>
            <w:pPr>
              <w:widowControl/>
              <w:spacing w:line="240" w:lineRule="auto"/>
              <w:ind w:firstLine="420" w:firstLineChars="200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机械臂未按规划路径移动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4" w:name="_Hlk14612804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设计急停按钮具备防误触结构；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选择具备防误触结构的急停按钮</w:t>
            </w:r>
          </w:p>
          <w:bookmarkEnd w:id="34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用户误操作升降按钮，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台车下降压到用户的脚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造成用户伤残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台车升降运动设计可一键停止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277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13"/>
        <w:spacing w:after="0" w:line="360" w:lineRule="auto"/>
        <w:ind w:left="0" w:leftChars="0" w:right="0" w:rightChars="0"/>
        <w:rPr>
          <w:rFonts w:ascii="宋体" w:hAnsi="宋体" w:cs="宋体"/>
          <w:bCs/>
          <w:sz w:val="24"/>
          <w:szCs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评估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在【定位导航】界面的右上角点击【评估】进入评估界面，对手术效果进行评估。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ind w:firstLine="420"/>
        <w:rPr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35" w:name="_Toc6597"/>
      <w:r>
        <w:rPr>
          <w:rFonts w:hint="eastAsia" w:ascii="宋体" w:hAnsi="宋体" w:cs="宋体"/>
          <w:sz w:val="24"/>
        </w:rPr>
        <w:t>关闭系统</w:t>
      </w:r>
      <w:bookmarkEnd w:id="35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结束手术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如果全部手术完成，则点击【结束手术】，即可回到患者管理界面。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软件误关闭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产品无法使用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6" w:name="_Hlk14612828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软件关闭操作设计二次确认；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3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162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软件误删数据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产品无法使用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数据删除操作设计二次确认；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163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关闭系统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点击软件最右上方的【关机】图标，选择关闭系统。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产品在无人值守期间阻止非授权用户访问和使用的能力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患者信息泄露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泄露隐私信息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37" w:name="_Hlk146128405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设计软件自动锁屏功能</w:t>
            </w:r>
          </w:p>
          <w:bookmarkEnd w:id="3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将执行台车降落到位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用户误操作升降按钮，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台车下降压到用户的脚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="等线 Regular" w:hAnsi="等线" w:eastAsia="等线 Regular" w:cs="宋体"/>
                <w:color w:val="000000"/>
                <w:kern w:val="0"/>
                <w:szCs w:val="28"/>
              </w:rPr>
            </w:pPr>
            <w:r>
              <w:rPr>
                <w:rFonts w:hint="eastAsia" w:ascii="等线 Regular" w:hAnsi="等线" w:eastAsia="等线 Regular"/>
                <w:color w:val="000000"/>
                <w:szCs w:val="28"/>
              </w:rPr>
              <w:t>造成用户伤残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台车升降运动设计可一键停止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277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bookmarkStart w:id="38" w:name="_Hlk146128496"/>
      <w:r>
        <w:rPr>
          <w:rFonts w:hint="eastAsia" w:ascii="宋体" w:hAnsi="宋体" w:cs="宋体"/>
          <w:b w:val="0"/>
          <w:bCs/>
          <w:sz w:val="24"/>
        </w:rPr>
        <w:t>关闭导航台车接线面板的【电源开关】，从网电源插座拔出电源线，收纳入导航台车。</w:t>
      </w:r>
    </w:p>
    <w:bookmarkEnd w:id="38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39" w:name="_Hlk146128511"/>
      <w:r>
        <w:rPr>
          <w:rFonts w:hint="eastAsia" w:ascii="宋体" w:hAnsi="宋体" w:cs="宋体"/>
          <w:b w:val="0"/>
          <w:bCs/>
          <w:sz w:val="24"/>
        </w:rPr>
        <w:t>按下执行台车接线面板的【机械臂】开关，等待机械臂灯熄灭。关闭执行台车接线面板的【电源开关】，从网电源插座拔出电源线，收纳入执行台车。</w:t>
      </w:r>
    </w:p>
    <w:bookmarkEnd w:id="39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40" w:name="_Hlk146128520"/>
      <w:r>
        <w:rPr>
          <w:rFonts w:hint="eastAsia" w:ascii="宋体" w:hAnsi="宋体" w:cs="宋体"/>
          <w:b w:val="0"/>
          <w:bCs/>
          <w:sz w:val="24"/>
        </w:rPr>
        <w:t>关闭操作台车接线面板的【电源开关】，从网电源插座拔出电源线，收纳入操作台车。</w:t>
      </w:r>
    </w:p>
    <w:bookmarkEnd w:id="40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宋体" w:hAnsi="宋体" w:cs="宋体"/>
          <w:sz w:val="24"/>
        </w:rPr>
      </w:pPr>
      <w:bookmarkStart w:id="41" w:name="_Toc28834"/>
      <w:r>
        <w:rPr>
          <w:rFonts w:hint="eastAsia" w:ascii="宋体" w:hAnsi="宋体" w:cs="宋体"/>
          <w:sz w:val="24"/>
        </w:rPr>
        <w:t>基于配准板的X光注册和图像配准</w:t>
      </w:r>
      <w:bookmarkEnd w:id="41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42" w:name="_Hlk146128545"/>
      <w:r>
        <w:rPr>
          <w:rFonts w:hint="eastAsia" w:ascii="宋体" w:hAnsi="宋体" w:cs="宋体"/>
          <w:b w:val="0"/>
          <w:bCs/>
          <w:sz w:val="24"/>
        </w:rPr>
        <w:t>取出相应配准板， 核对配准板编号与软件中的选择一致。</w:t>
      </w:r>
    </w:p>
    <w:bookmarkEnd w:id="42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配准板选择有误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X片注册失败/手术精度下降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43" w:name="_Hlk14612861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说明书明确告知机械臂配准板及C臂机配准板的外观与使用方式；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4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bookmarkStart w:id="44" w:name="_Hlk146128555"/>
      <w:r>
        <w:rPr>
          <w:rFonts w:hint="eastAsia" w:ascii="宋体" w:hAnsi="宋体" w:cs="宋体"/>
          <w:b w:val="0"/>
          <w:bCs/>
          <w:sz w:val="24"/>
        </w:rPr>
        <w:t>安装到C臂机或者定位通道中；</w:t>
      </w:r>
    </w:p>
    <w:bookmarkEnd w:id="44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配准板摆放不合理，小球识别不准确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4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设计机械臂自动水平与居中摆位；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参数配置错误，小球识别不准确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说明书明确配置参数调整意义与方法；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配准板小球未定期标定，小球识别不准确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45" w:name="_Hlk146128915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设计软件记录工具使用次数；超期限用户界面提示；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4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46" w:name="_Hlk146128563"/>
      <w:r>
        <w:rPr>
          <w:rFonts w:hint="eastAsia" w:ascii="宋体" w:hAnsi="宋体" w:cs="宋体"/>
          <w:b w:val="0"/>
          <w:bCs/>
          <w:sz w:val="24"/>
        </w:rPr>
        <w:t>移动C臂机进行图像采集。</w:t>
      </w:r>
    </w:p>
    <w:bookmarkEnd w:id="46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用户拖动机械臂用力过猛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机械臂保护性停止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47" w:name="_Hlk14612923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用户界面能够快速解除保护性停止；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2.说明书中规定操作方式</w:t>
            </w:r>
          </w:p>
          <w:bookmarkEnd w:id="4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使用者注意力不集中，在软件界面误点了机械臂相关功能，以及误踩脚踏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室温部分小于130N力碰撞患者，可立即分离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bookmarkStart w:id="48" w:name="_Hlk14612928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2.机械臂运动设计指示灯提示；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3.确保软件易用性；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4.完善说明书内容</w:t>
            </w:r>
          </w:p>
          <w:bookmarkEnd w:id="4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脚踏或通道按钮误操作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引起非预期动作，室温部分小于130N力碰撞患者，可立即分离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.设计急停按钮；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2.软件设计进行有效阻隔，避免误操作发生；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机械臂运动速度参数设置不合理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机械臂运动速度过快或过慢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49" w:name="_Hlk14612963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  <w:bookmarkEnd w:id="49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未进行畸变矫正，畸变矫正不到位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0" w:name="_Hlk146129794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0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畸变配置参数不匹配，畸变矫正不到位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设备成像参数不合理，X光图像不清晰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配准精度不足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C臂机移动过程中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C臂机室温部分撞到患者或手术床，可立即分离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1" w:name="_Hlk14612997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说明书告知用户移动C臂机过程中避免与环境发生干涉；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1"/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机械臂拖动过程中或水平对齐/自动居中过程中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配准板室温部分碰到患者，可立即分离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52" w:name="_Hlk14613014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说明书告知用户移动配准板过程中避免与环境发生干涉；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2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发送错误透视片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X光图像分辨率不匹配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手术无法继续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315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接收X光图像无提示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手术无法继续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3" w:name="_Hlk146130414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设计接收X光图像后自动注册，用户界面显示注册结果</w:t>
            </w:r>
          </w:p>
          <w:bookmarkEnd w:id="5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4"/>
        <w:rPr>
          <w:rFonts w:ascii="宋体" w:hAnsi="宋体" w:cs="宋体"/>
          <w:b w:val="0"/>
          <w:bCs/>
          <w:sz w:val="24"/>
        </w:rPr>
      </w:pPr>
      <w:bookmarkStart w:id="54" w:name="_Toc7226"/>
      <w:r>
        <w:rPr>
          <w:rFonts w:hint="eastAsia" w:ascii="宋体" w:hAnsi="宋体" w:cs="宋体"/>
          <w:b w:val="0"/>
          <w:bCs/>
          <w:sz w:val="24"/>
        </w:rPr>
        <w:t>机械臂末端按钮控制通道升降</w:t>
      </w:r>
      <w:bookmarkEnd w:id="54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55" w:name="_Hlk146130443"/>
      <w:r>
        <w:rPr>
          <w:rFonts w:hint="eastAsia" w:ascii="宋体" w:hAnsi="宋体" w:cs="宋体"/>
          <w:b w:val="0"/>
          <w:bCs/>
          <w:sz w:val="24"/>
        </w:rPr>
        <w:t>定位完成后，在机械臂末端按下对于按钮，控制机械臂末端沿定位通道左右旋转和上下平移。</w:t>
      </w:r>
    </w:p>
    <w:bookmarkEnd w:id="55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手术过程中，误点定位操作；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误用通道升降按钮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引起非预期动作，机械臂室温部分小于130N力碰撞患者，可立即分离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56" w:name="_Hlk14613051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界面操作需与脚踏配合进行定位操作；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运动过程中设计指示灯提示；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设计机械臂运动仿真功能；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软件中设计末端控制器的操作开关</w:t>
            </w:r>
          </w:p>
          <w:bookmarkEnd w:id="5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46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57" w:name="_Toc3927"/>
      <w:r>
        <w:rPr>
          <w:rFonts w:hint="eastAsia" w:ascii="宋体" w:hAnsi="宋体" w:cs="宋体"/>
          <w:sz w:val="24"/>
        </w:rPr>
        <w:t>工具灭菌</w:t>
      </w:r>
      <w:bookmarkEnd w:id="57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遵照WS 310.2—2016 中定义的灭菌过程要求，对工具包中的器械进行灭菌。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冲洗、精洗、干燥不充分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器械有污染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8" w:name="_Hlk14613061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用错灭菌方式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器械形变，定位精度下降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灭菌不充分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器械未充分灭菌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4"/>
        <w:rPr>
          <w:rFonts w:ascii="宋体" w:hAnsi="宋体" w:cs="宋体"/>
          <w:sz w:val="24"/>
        </w:rPr>
      </w:pPr>
      <w:bookmarkStart w:id="59" w:name="_Toc261"/>
      <w:r>
        <w:rPr>
          <w:rFonts w:hint="eastAsia" w:ascii="宋体" w:hAnsi="宋体" w:cs="宋体"/>
          <w:sz w:val="24"/>
        </w:rPr>
        <w:t>紧急停止</w:t>
      </w:r>
      <w:bookmarkEnd w:id="59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60" w:name="_Hlk146130781"/>
      <w:r>
        <w:rPr>
          <w:rFonts w:hint="eastAsia" w:ascii="宋体" w:hAnsi="宋体" w:cs="宋体"/>
          <w:b w:val="0"/>
          <w:bCs/>
          <w:sz w:val="24"/>
        </w:rPr>
        <w:t>用户按下急停按钮，机械臂停止运动然后被切断电源</w:t>
      </w:r>
    </w:p>
    <w:bookmarkEnd w:id="60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急停功能不能让关键器件停止运行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急停设计响应时间过长导致对紧急情况的响应不及时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元器件选型；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设计急停按钮直接接入机械臂控制器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61" w:name="_Hlk146130788"/>
      <w:r>
        <w:rPr>
          <w:rFonts w:hint="eastAsia" w:ascii="宋体" w:hAnsi="宋体" w:cs="宋体"/>
          <w:b w:val="0"/>
          <w:bCs/>
          <w:sz w:val="24"/>
        </w:rPr>
        <w:t>用户将手术器械以及设与患者分离</w:t>
      </w:r>
    </w:p>
    <w:bookmarkEnd w:id="61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电源断电导致机械臂锁死患者无法释放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急停开关触发导致机械臂锁死患者无法释放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62" w:name="_Hlk14613095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设计机械臂断电后套筒、定位器和机械臂均可与患者顺畅分离</w:t>
            </w:r>
          </w:p>
          <w:bookmarkEnd w:id="62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63" w:name="_Toc1241"/>
      <w:r>
        <w:rPr>
          <w:rFonts w:hint="eastAsia" w:ascii="宋体" w:hAnsi="宋体" w:cs="宋体"/>
          <w:sz w:val="24"/>
        </w:rPr>
        <w:t>UPS供电</w:t>
      </w:r>
      <w:bookmarkEnd w:id="63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64" w:name="_Hlk146131004"/>
      <w:r>
        <w:rPr>
          <w:rFonts w:hint="eastAsia" w:ascii="宋体" w:hAnsi="宋体" w:cs="宋体"/>
          <w:b w:val="0"/>
          <w:bCs/>
          <w:sz w:val="24"/>
        </w:rPr>
        <w:t>网电源因为意外与设备分离，UPS无缝切换为导航台车与执行台车供电。用户听到UPS蜂鸣声，看到UPS指示灯亮起。</w:t>
      </w:r>
    </w:p>
    <w:bookmarkEnd w:id="64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UPS，用户超年限使用，后备电池供电不足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系统在工作中突然断电没有备用电源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65" w:name="_Hlk14613110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说明书中明确UPS电池使用年限，需要定期更换；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6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66" w:name="_Hlk146131016"/>
      <w:r>
        <w:rPr>
          <w:rFonts w:hint="eastAsia" w:ascii="宋体" w:hAnsi="宋体" w:cs="宋体"/>
          <w:b w:val="0"/>
          <w:bCs/>
          <w:sz w:val="24"/>
        </w:rPr>
        <w:t>用户将手术器械以及设与患者分离</w:t>
      </w:r>
    </w:p>
    <w:bookmarkEnd w:id="66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电源断电导致机械臂锁死患者无法释放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急停开关触发导致机械臂锁死患者无法释放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设计机械臂断电后套筒、定位器和机械臂均可与患者顺畅分离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sectPr>
      <w:headerReference r:id="rId5" w:type="default"/>
      <w:footerReference r:id="rId6" w:type="default"/>
      <w:pgSz w:w="11906" w:h="16838"/>
      <w:pgMar w:top="1417" w:right="1800" w:bottom="850" w:left="1800" w:header="851" w:footer="283" w:gutter="0"/>
      <w:pgNumType w:start="1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Regular">
    <w:altName w:val="等线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6" w:space="1"/>
      </w:pBdr>
      <w:snapToGrid w:val="0"/>
      <w:spacing w:line="240" w:lineRule="auto"/>
      <w:textAlignment w:val="center"/>
      <w:rPr>
        <w:sz w:val="18"/>
        <w:szCs w:val="18"/>
      </w:rPr>
    </w:pPr>
    <w:r>
      <w:rPr>
        <w:rFonts w:ascii="Times New Roman" w:hAnsi="Times New Roman" w:cs="Times New Roman"/>
        <w:sz w:val="18"/>
        <w:szCs w:val="18"/>
        <w:lang w:bidi="ar"/>
      </w:rPr>
      <w:drawing>
        <wp:inline distT="0" distB="0" distL="114300" distR="114300">
          <wp:extent cx="2077085" cy="311785"/>
          <wp:effectExtent l="0" t="0" r="18415" b="12065"/>
          <wp:docPr id="14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7085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32"/>
      </w:rPr>
      <w:t xml:space="preserve">    </w:t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4F8BB"/>
    <w:multiLevelType w:val="multilevel"/>
    <w:tmpl w:val="D9B4F8B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833" w:hanging="833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4407" w:hanging="864"/>
      </w:p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00037C"/>
    <w:rsid w:val="00024F0E"/>
    <w:rsid w:val="0002653B"/>
    <w:rsid w:val="00036A75"/>
    <w:rsid w:val="00084374"/>
    <w:rsid w:val="00094584"/>
    <w:rsid w:val="000A2DED"/>
    <w:rsid w:val="000A78A4"/>
    <w:rsid w:val="000C7601"/>
    <w:rsid w:val="000D1DD7"/>
    <w:rsid w:val="000D2E3A"/>
    <w:rsid w:val="000E5355"/>
    <w:rsid w:val="000F2065"/>
    <w:rsid w:val="000F29CC"/>
    <w:rsid w:val="00100777"/>
    <w:rsid w:val="00114110"/>
    <w:rsid w:val="001428E5"/>
    <w:rsid w:val="00154F01"/>
    <w:rsid w:val="00161F1A"/>
    <w:rsid w:val="00176D69"/>
    <w:rsid w:val="00195ECB"/>
    <w:rsid w:val="001A141E"/>
    <w:rsid w:val="001A33C6"/>
    <w:rsid w:val="001A6428"/>
    <w:rsid w:val="001B0077"/>
    <w:rsid w:val="001E1B71"/>
    <w:rsid w:val="001F66D9"/>
    <w:rsid w:val="002026A4"/>
    <w:rsid w:val="00203938"/>
    <w:rsid w:val="00241813"/>
    <w:rsid w:val="00246BC1"/>
    <w:rsid w:val="00251B12"/>
    <w:rsid w:val="00253555"/>
    <w:rsid w:val="00295D7C"/>
    <w:rsid w:val="002A0B05"/>
    <w:rsid w:val="002D5124"/>
    <w:rsid w:val="002E2080"/>
    <w:rsid w:val="002E7971"/>
    <w:rsid w:val="0030644E"/>
    <w:rsid w:val="00365BB2"/>
    <w:rsid w:val="00377DA2"/>
    <w:rsid w:val="00395B81"/>
    <w:rsid w:val="003A706F"/>
    <w:rsid w:val="003D152F"/>
    <w:rsid w:val="003D3C6B"/>
    <w:rsid w:val="003E3071"/>
    <w:rsid w:val="003E72D4"/>
    <w:rsid w:val="003E7DD5"/>
    <w:rsid w:val="004405BD"/>
    <w:rsid w:val="00442E08"/>
    <w:rsid w:val="00450027"/>
    <w:rsid w:val="00466035"/>
    <w:rsid w:val="004779E3"/>
    <w:rsid w:val="004B7016"/>
    <w:rsid w:val="004C66CA"/>
    <w:rsid w:val="004D74BC"/>
    <w:rsid w:val="004F5490"/>
    <w:rsid w:val="0050542E"/>
    <w:rsid w:val="00520C79"/>
    <w:rsid w:val="00521F5E"/>
    <w:rsid w:val="00525711"/>
    <w:rsid w:val="00535BB5"/>
    <w:rsid w:val="00542D88"/>
    <w:rsid w:val="005679D1"/>
    <w:rsid w:val="00570861"/>
    <w:rsid w:val="0057350C"/>
    <w:rsid w:val="00583D5A"/>
    <w:rsid w:val="005860D7"/>
    <w:rsid w:val="005C2DD8"/>
    <w:rsid w:val="005E27DF"/>
    <w:rsid w:val="005F1C81"/>
    <w:rsid w:val="00613F53"/>
    <w:rsid w:val="00641043"/>
    <w:rsid w:val="00644788"/>
    <w:rsid w:val="006578A9"/>
    <w:rsid w:val="00690F41"/>
    <w:rsid w:val="006C1CA5"/>
    <w:rsid w:val="006D43AE"/>
    <w:rsid w:val="00713512"/>
    <w:rsid w:val="0071676B"/>
    <w:rsid w:val="00754AB5"/>
    <w:rsid w:val="00764B13"/>
    <w:rsid w:val="00770EA9"/>
    <w:rsid w:val="007720C4"/>
    <w:rsid w:val="007820ED"/>
    <w:rsid w:val="007913F2"/>
    <w:rsid w:val="007A37D8"/>
    <w:rsid w:val="007A6082"/>
    <w:rsid w:val="007C6D59"/>
    <w:rsid w:val="00801878"/>
    <w:rsid w:val="0081164B"/>
    <w:rsid w:val="00813064"/>
    <w:rsid w:val="00863389"/>
    <w:rsid w:val="008A767A"/>
    <w:rsid w:val="008A76D6"/>
    <w:rsid w:val="008B7BFB"/>
    <w:rsid w:val="008C646E"/>
    <w:rsid w:val="008D26C1"/>
    <w:rsid w:val="008E0222"/>
    <w:rsid w:val="008F258C"/>
    <w:rsid w:val="00903575"/>
    <w:rsid w:val="009068A2"/>
    <w:rsid w:val="009503BB"/>
    <w:rsid w:val="009514C9"/>
    <w:rsid w:val="00951C47"/>
    <w:rsid w:val="0096536C"/>
    <w:rsid w:val="00967516"/>
    <w:rsid w:val="00976C24"/>
    <w:rsid w:val="009B4357"/>
    <w:rsid w:val="009E1E46"/>
    <w:rsid w:val="009E5328"/>
    <w:rsid w:val="009E69D8"/>
    <w:rsid w:val="00A078BD"/>
    <w:rsid w:val="00A13338"/>
    <w:rsid w:val="00A37CD4"/>
    <w:rsid w:val="00A75EAA"/>
    <w:rsid w:val="00A84004"/>
    <w:rsid w:val="00AB0A1B"/>
    <w:rsid w:val="00AB29A2"/>
    <w:rsid w:val="00AB6299"/>
    <w:rsid w:val="00AB6F38"/>
    <w:rsid w:val="00AC3209"/>
    <w:rsid w:val="00AE0B47"/>
    <w:rsid w:val="00B201B8"/>
    <w:rsid w:val="00B3255C"/>
    <w:rsid w:val="00B37B89"/>
    <w:rsid w:val="00B574F2"/>
    <w:rsid w:val="00B61616"/>
    <w:rsid w:val="00B72438"/>
    <w:rsid w:val="00B77F74"/>
    <w:rsid w:val="00B86D30"/>
    <w:rsid w:val="00B94C9D"/>
    <w:rsid w:val="00BF178F"/>
    <w:rsid w:val="00C43298"/>
    <w:rsid w:val="00C56204"/>
    <w:rsid w:val="00C61AEE"/>
    <w:rsid w:val="00C62AA1"/>
    <w:rsid w:val="00C914CA"/>
    <w:rsid w:val="00C91AA2"/>
    <w:rsid w:val="00CA2ED9"/>
    <w:rsid w:val="00CA4161"/>
    <w:rsid w:val="00CD384B"/>
    <w:rsid w:val="00CE7525"/>
    <w:rsid w:val="00CF317D"/>
    <w:rsid w:val="00D30AE5"/>
    <w:rsid w:val="00D317F2"/>
    <w:rsid w:val="00D31FDF"/>
    <w:rsid w:val="00D4799E"/>
    <w:rsid w:val="00D67B8C"/>
    <w:rsid w:val="00D83D7F"/>
    <w:rsid w:val="00D8553B"/>
    <w:rsid w:val="00DA1491"/>
    <w:rsid w:val="00DB3CBB"/>
    <w:rsid w:val="00DD59B9"/>
    <w:rsid w:val="00DD5A03"/>
    <w:rsid w:val="00DF0712"/>
    <w:rsid w:val="00DF30FB"/>
    <w:rsid w:val="00E06A02"/>
    <w:rsid w:val="00E514C5"/>
    <w:rsid w:val="00E56C2B"/>
    <w:rsid w:val="00E71355"/>
    <w:rsid w:val="00E74293"/>
    <w:rsid w:val="00E7570F"/>
    <w:rsid w:val="00E95A74"/>
    <w:rsid w:val="00EB671C"/>
    <w:rsid w:val="00ED4CC4"/>
    <w:rsid w:val="00F04EEB"/>
    <w:rsid w:val="00F20F95"/>
    <w:rsid w:val="00F31891"/>
    <w:rsid w:val="00F552DB"/>
    <w:rsid w:val="00F6106E"/>
    <w:rsid w:val="00F84B19"/>
    <w:rsid w:val="00F92B28"/>
    <w:rsid w:val="00FA009F"/>
    <w:rsid w:val="00FC1D29"/>
    <w:rsid w:val="00FC2597"/>
    <w:rsid w:val="00FD3BA0"/>
    <w:rsid w:val="00FE6C86"/>
    <w:rsid w:val="00FF276E"/>
    <w:rsid w:val="016519ED"/>
    <w:rsid w:val="01993FD6"/>
    <w:rsid w:val="01D67EAB"/>
    <w:rsid w:val="01E97321"/>
    <w:rsid w:val="025A6DA7"/>
    <w:rsid w:val="02644ACE"/>
    <w:rsid w:val="026D5FC2"/>
    <w:rsid w:val="02707336"/>
    <w:rsid w:val="02AB0636"/>
    <w:rsid w:val="02F80881"/>
    <w:rsid w:val="033739F5"/>
    <w:rsid w:val="03377BF0"/>
    <w:rsid w:val="040344C3"/>
    <w:rsid w:val="049A3EE5"/>
    <w:rsid w:val="04CA4BB5"/>
    <w:rsid w:val="04DF0030"/>
    <w:rsid w:val="05032A18"/>
    <w:rsid w:val="058805D0"/>
    <w:rsid w:val="05884AC3"/>
    <w:rsid w:val="05CB5F07"/>
    <w:rsid w:val="05F46DF6"/>
    <w:rsid w:val="064C693C"/>
    <w:rsid w:val="066C1F8B"/>
    <w:rsid w:val="06A150FE"/>
    <w:rsid w:val="06B21345"/>
    <w:rsid w:val="06B57809"/>
    <w:rsid w:val="06BF1533"/>
    <w:rsid w:val="074245F9"/>
    <w:rsid w:val="0760504D"/>
    <w:rsid w:val="079668B7"/>
    <w:rsid w:val="085D13B5"/>
    <w:rsid w:val="08657AB8"/>
    <w:rsid w:val="08945E89"/>
    <w:rsid w:val="08B11E84"/>
    <w:rsid w:val="091655D1"/>
    <w:rsid w:val="093740A1"/>
    <w:rsid w:val="09742D5F"/>
    <w:rsid w:val="09BB5BCC"/>
    <w:rsid w:val="09BF382C"/>
    <w:rsid w:val="0A65416C"/>
    <w:rsid w:val="0B375F8F"/>
    <w:rsid w:val="0B514627"/>
    <w:rsid w:val="0BB928C2"/>
    <w:rsid w:val="0BBA4D65"/>
    <w:rsid w:val="0BE6623D"/>
    <w:rsid w:val="0BE706ED"/>
    <w:rsid w:val="0CBD67C8"/>
    <w:rsid w:val="0CE3541D"/>
    <w:rsid w:val="0D14789D"/>
    <w:rsid w:val="0D225423"/>
    <w:rsid w:val="0D380D3F"/>
    <w:rsid w:val="0DB875C6"/>
    <w:rsid w:val="0E055BEC"/>
    <w:rsid w:val="0E2741A3"/>
    <w:rsid w:val="0E2F5460"/>
    <w:rsid w:val="0F525587"/>
    <w:rsid w:val="0F7F41C8"/>
    <w:rsid w:val="102B2D19"/>
    <w:rsid w:val="10A12DA0"/>
    <w:rsid w:val="10AD4E23"/>
    <w:rsid w:val="114E320A"/>
    <w:rsid w:val="115019C2"/>
    <w:rsid w:val="11520F72"/>
    <w:rsid w:val="11595ECB"/>
    <w:rsid w:val="117A794E"/>
    <w:rsid w:val="119B4F8B"/>
    <w:rsid w:val="12621206"/>
    <w:rsid w:val="128812A8"/>
    <w:rsid w:val="12C845D2"/>
    <w:rsid w:val="12F310B8"/>
    <w:rsid w:val="1303162E"/>
    <w:rsid w:val="132604F3"/>
    <w:rsid w:val="1336788D"/>
    <w:rsid w:val="141E2224"/>
    <w:rsid w:val="14DA716B"/>
    <w:rsid w:val="157A3F5A"/>
    <w:rsid w:val="15835095"/>
    <w:rsid w:val="16487643"/>
    <w:rsid w:val="172F3B96"/>
    <w:rsid w:val="17370A93"/>
    <w:rsid w:val="17B6703A"/>
    <w:rsid w:val="17C05B06"/>
    <w:rsid w:val="17E115D7"/>
    <w:rsid w:val="17F51C94"/>
    <w:rsid w:val="18785FB9"/>
    <w:rsid w:val="18BA0EDE"/>
    <w:rsid w:val="19751FE8"/>
    <w:rsid w:val="19F22CD1"/>
    <w:rsid w:val="1A4174F7"/>
    <w:rsid w:val="1B445FE4"/>
    <w:rsid w:val="1BEE20BE"/>
    <w:rsid w:val="1C0511FA"/>
    <w:rsid w:val="1C4A1B3F"/>
    <w:rsid w:val="1C6C5911"/>
    <w:rsid w:val="1CA3053F"/>
    <w:rsid w:val="1CAC44F0"/>
    <w:rsid w:val="1CBA5358"/>
    <w:rsid w:val="1D6660A0"/>
    <w:rsid w:val="1DC8166F"/>
    <w:rsid w:val="1EB66CE1"/>
    <w:rsid w:val="1EC46C87"/>
    <w:rsid w:val="1EE86F0A"/>
    <w:rsid w:val="1EF9187A"/>
    <w:rsid w:val="1F2252EC"/>
    <w:rsid w:val="1F7229C9"/>
    <w:rsid w:val="1FE5702B"/>
    <w:rsid w:val="202F5F60"/>
    <w:rsid w:val="204602C1"/>
    <w:rsid w:val="20A26147"/>
    <w:rsid w:val="22064C83"/>
    <w:rsid w:val="22164095"/>
    <w:rsid w:val="22330B50"/>
    <w:rsid w:val="225F5B8E"/>
    <w:rsid w:val="22F93A8C"/>
    <w:rsid w:val="23D729E7"/>
    <w:rsid w:val="24261EA7"/>
    <w:rsid w:val="24540CD2"/>
    <w:rsid w:val="24996EA2"/>
    <w:rsid w:val="24A27F99"/>
    <w:rsid w:val="25C42F68"/>
    <w:rsid w:val="26753261"/>
    <w:rsid w:val="27017B1B"/>
    <w:rsid w:val="271E3F5C"/>
    <w:rsid w:val="27434EF3"/>
    <w:rsid w:val="285F5832"/>
    <w:rsid w:val="287232B7"/>
    <w:rsid w:val="29154C2F"/>
    <w:rsid w:val="29172EEC"/>
    <w:rsid w:val="2AB71C38"/>
    <w:rsid w:val="2ABB636F"/>
    <w:rsid w:val="2AC45B60"/>
    <w:rsid w:val="2B3019DE"/>
    <w:rsid w:val="2B4206F9"/>
    <w:rsid w:val="2B557277"/>
    <w:rsid w:val="2BAB2848"/>
    <w:rsid w:val="2BB86DE5"/>
    <w:rsid w:val="2BCB5984"/>
    <w:rsid w:val="2C9921DB"/>
    <w:rsid w:val="2CCD2C66"/>
    <w:rsid w:val="2D61111D"/>
    <w:rsid w:val="2D7A1034"/>
    <w:rsid w:val="2D825394"/>
    <w:rsid w:val="2DD54680"/>
    <w:rsid w:val="2DE10445"/>
    <w:rsid w:val="2DFA09C5"/>
    <w:rsid w:val="2E5D21FC"/>
    <w:rsid w:val="2EFE2BCC"/>
    <w:rsid w:val="2F2507F1"/>
    <w:rsid w:val="2F27081C"/>
    <w:rsid w:val="2F660218"/>
    <w:rsid w:val="300D659C"/>
    <w:rsid w:val="30473813"/>
    <w:rsid w:val="30994AEF"/>
    <w:rsid w:val="310A1392"/>
    <w:rsid w:val="31332561"/>
    <w:rsid w:val="325D23A1"/>
    <w:rsid w:val="334447D4"/>
    <w:rsid w:val="33621EB8"/>
    <w:rsid w:val="33740094"/>
    <w:rsid w:val="33997CFE"/>
    <w:rsid w:val="33AA484A"/>
    <w:rsid w:val="34583831"/>
    <w:rsid w:val="34781801"/>
    <w:rsid w:val="34F51A38"/>
    <w:rsid w:val="355412C6"/>
    <w:rsid w:val="35F63001"/>
    <w:rsid w:val="366A584F"/>
    <w:rsid w:val="3683146A"/>
    <w:rsid w:val="36D64F73"/>
    <w:rsid w:val="37560A59"/>
    <w:rsid w:val="37612E17"/>
    <w:rsid w:val="37907C8C"/>
    <w:rsid w:val="37A27ABA"/>
    <w:rsid w:val="37B77E66"/>
    <w:rsid w:val="37D0077B"/>
    <w:rsid w:val="38507CC5"/>
    <w:rsid w:val="38814854"/>
    <w:rsid w:val="391509CE"/>
    <w:rsid w:val="398B27E3"/>
    <w:rsid w:val="399B3711"/>
    <w:rsid w:val="39B5645A"/>
    <w:rsid w:val="39EB205A"/>
    <w:rsid w:val="3A0C259D"/>
    <w:rsid w:val="3A1D45CF"/>
    <w:rsid w:val="3A6A4E00"/>
    <w:rsid w:val="3AA04502"/>
    <w:rsid w:val="3B826790"/>
    <w:rsid w:val="3BE94353"/>
    <w:rsid w:val="3CEF07DF"/>
    <w:rsid w:val="3CF74DE3"/>
    <w:rsid w:val="3D4D3A52"/>
    <w:rsid w:val="3DC207C2"/>
    <w:rsid w:val="3DD92D04"/>
    <w:rsid w:val="3EBC2DD4"/>
    <w:rsid w:val="3ED26F1E"/>
    <w:rsid w:val="3EEF5EE4"/>
    <w:rsid w:val="3F093D11"/>
    <w:rsid w:val="3F9E2EF4"/>
    <w:rsid w:val="406341C0"/>
    <w:rsid w:val="40946FA0"/>
    <w:rsid w:val="40AC69BA"/>
    <w:rsid w:val="40E2300C"/>
    <w:rsid w:val="41455303"/>
    <w:rsid w:val="414B41E7"/>
    <w:rsid w:val="419E2CA6"/>
    <w:rsid w:val="41E43209"/>
    <w:rsid w:val="41F66028"/>
    <w:rsid w:val="420C30E4"/>
    <w:rsid w:val="422E6E78"/>
    <w:rsid w:val="425D4E3D"/>
    <w:rsid w:val="426C25E4"/>
    <w:rsid w:val="42B13934"/>
    <w:rsid w:val="42B44BCC"/>
    <w:rsid w:val="42CF3399"/>
    <w:rsid w:val="448E2DB4"/>
    <w:rsid w:val="44996699"/>
    <w:rsid w:val="44DF1658"/>
    <w:rsid w:val="455A17F2"/>
    <w:rsid w:val="458A240E"/>
    <w:rsid w:val="459812A8"/>
    <w:rsid w:val="45CF7AFA"/>
    <w:rsid w:val="45DB5CF9"/>
    <w:rsid w:val="46160BBC"/>
    <w:rsid w:val="46475912"/>
    <w:rsid w:val="46CA75A6"/>
    <w:rsid w:val="46EA652B"/>
    <w:rsid w:val="470E7B6C"/>
    <w:rsid w:val="477A520A"/>
    <w:rsid w:val="48121F78"/>
    <w:rsid w:val="486D7E1A"/>
    <w:rsid w:val="48BF1991"/>
    <w:rsid w:val="48F92351"/>
    <w:rsid w:val="490B3A20"/>
    <w:rsid w:val="492A24C2"/>
    <w:rsid w:val="494F0499"/>
    <w:rsid w:val="497475F9"/>
    <w:rsid w:val="49D1162D"/>
    <w:rsid w:val="49DF02FD"/>
    <w:rsid w:val="4A02012A"/>
    <w:rsid w:val="4B362A6E"/>
    <w:rsid w:val="4B5A4478"/>
    <w:rsid w:val="4B8B07CC"/>
    <w:rsid w:val="4BE72442"/>
    <w:rsid w:val="4C477BE0"/>
    <w:rsid w:val="4C49249F"/>
    <w:rsid w:val="4C811E19"/>
    <w:rsid w:val="4CB73418"/>
    <w:rsid w:val="4D532085"/>
    <w:rsid w:val="4D7C3C63"/>
    <w:rsid w:val="4DAA171B"/>
    <w:rsid w:val="4E154088"/>
    <w:rsid w:val="4E6D7955"/>
    <w:rsid w:val="4E8E3948"/>
    <w:rsid w:val="4E914C14"/>
    <w:rsid w:val="4F3116AB"/>
    <w:rsid w:val="4F4F46AB"/>
    <w:rsid w:val="4F795038"/>
    <w:rsid w:val="4F96578E"/>
    <w:rsid w:val="50326052"/>
    <w:rsid w:val="508F4619"/>
    <w:rsid w:val="50977FF8"/>
    <w:rsid w:val="510D1B4F"/>
    <w:rsid w:val="513F460A"/>
    <w:rsid w:val="51936894"/>
    <w:rsid w:val="51B8140F"/>
    <w:rsid w:val="524609DF"/>
    <w:rsid w:val="524F59DC"/>
    <w:rsid w:val="52675ECE"/>
    <w:rsid w:val="529F58A7"/>
    <w:rsid w:val="52FA58EC"/>
    <w:rsid w:val="53D50FCE"/>
    <w:rsid w:val="53D852B7"/>
    <w:rsid w:val="540D6A16"/>
    <w:rsid w:val="54BA5742"/>
    <w:rsid w:val="55437CB7"/>
    <w:rsid w:val="56153EBD"/>
    <w:rsid w:val="57060B39"/>
    <w:rsid w:val="5720228F"/>
    <w:rsid w:val="583536F4"/>
    <w:rsid w:val="583B221A"/>
    <w:rsid w:val="5865469B"/>
    <w:rsid w:val="587368DE"/>
    <w:rsid w:val="588258B0"/>
    <w:rsid w:val="59946335"/>
    <w:rsid w:val="599E1006"/>
    <w:rsid w:val="5A131264"/>
    <w:rsid w:val="5AB301E0"/>
    <w:rsid w:val="5AF32D0E"/>
    <w:rsid w:val="5AFC0BEC"/>
    <w:rsid w:val="5AFE08DF"/>
    <w:rsid w:val="5B1477D4"/>
    <w:rsid w:val="5B6A257E"/>
    <w:rsid w:val="5B7D3379"/>
    <w:rsid w:val="5BD63961"/>
    <w:rsid w:val="5BE7781C"/>
    <w:rsid w:val="5DC44D86"/>
    <w:rsid w:val="5DF23EF8"/>
    <w:rsid w:val="5E8720EC"/>
    <w:rsid w:val="5F3077AA"/>
    <w:rsid w:val="5F483205"/>
    <w:rsid w:val="5F774714"/>
    <w:rsid w:val="5FB81FB6"/>
    <w:rsid w:val="5FDF06B8"/>
    <w:rsid w:val="601B2A12"/>
    <w:rsid w:val="60547BD1"/>
    <w:rsid w:val="60776426"/>
    <w:rsid w:val="60D863B7"/>
    <w:rsid w:val="60DC4E7C"/>
    <w:rsid w:val="60E46730"/>
    <w:rsid w:val="611B2710"/>
    <w:rsid w:val="614444B2"/>
    <w:rsid w:val="62015D60"/>
    <w:rsid w:val="624F2853"/>
    <w:rsid w:val="627658E4"/>
    <w:rsid w:val="64322884"/>
    <w:rsid w:val="64377174"/>
    <w:rsid w:val="6486032C"/>
    <w:rsid w:val="64910F5E"/>
    <w:rsid w:val="64CF6AEE"/>
    <w:rsid w:val="65B07C77"/>
    <w:rsid w:val="667F0D60"/>
    <w:rsid w:val="66812C27"/>
    <w:rsid w:val="66CD3CB3"/>
    <w:rsid w:val="66E466AC"/>
    <w:rsid w:val="66EE10C9"/>
    <w:rsid w:val="671715BA"/>
    <w:rsid w:val="6720709C"/>
    <w:rsid w:val="67573E35"/>
    <w:rsid w:val="67C6704D"/>
    <w:rsid w:val="681763D2"/>
    <w:rsid w:val="68837AC6"/>
    <w:rsid w:val="68D50AD5"/>
    <w:rsid w:val="69077CF3"/>
    <w:rsid w:val="693C3B21"/>
    <w:rsid w:val="694B712D"/>
    <w:rsid w:val="69677250"/>
    <w:rsid w:val="69E949A3"/>
    <w:rsid w:val="6A0D2910"/>
    <w:rsid w:val="6AD72851"/>
    <w:rsid w:val="6B5A5D8D"/>
    <w:rsid w:val="6BE157FF"/>
    <w:rsid w:val="6C0B71D2"/>
    <w:rsid w:val="6C6E34BB"/>
    <w:rsid w:val="6C8639E2"/>
    <w:rsid w:val="6D050ADB"/>
    <w:rsid w:val="6D5F31A0"/>
    <w:rsid w:val="6D976FEF"/>
    <w:rsid w:val="6DDE6EA2"/>
    <w:rsid w:val="6E9351C1"/>
    <w:rsid w:val="6F250974"/>
    <w:rsid w:val="6F425277"/>
    <w:rsid w:val="6F457191"/>
    <w:rsid w:val="6F6B355A"/>
    <w:rsid w:val="7008444B"/>
    <w:rsid w:val="70334C0E"/>
    <w:rsid w:val="7044032E"/>
    <w:rsid w:val="70A80AE8"/>
    <w:rsid w:val="715C1FAC"/>
    <w:rsid w:val="716A7732"/>
    <w:rsid w:val="723E5B00"/>
    <w:rsid w:val="72AF4744"/>
    <w:rsid w:val="73000A7B"/>
    <w:rsid w:val="73A525A7"/>
    <w:rsid w:val="73CC74DB"/>
    <w:rsid w:val="73CF0E5E"/>
    <w:rsid w:val="73DC61E0"/>
    <w:rsid w:val="73FC653F"/>
    <w:rsid w:val="7479295D"/>
    <w:rsid w:val="74AB408C"/>
    <w:rsid w:val="74DC704C"/>
    <w:rsid w:val="74EB508F"/>
    <w:rsid w:val="74F21DB9"/>
    <w:rsid w:val="755C426C"/>
    <w:rsid w:val="75B754E7"/>
    <w:rsid w:val="75C84D63"/>
    <w:rsid w:val="75DE5FD3"/>
    <w:rsid w:val="76040CA7"/>
    <w:rsid w:val="76AF189E"/>
    <w:rsid w:val="776C0048"/>
    <w:rsid w:val="77B35E42"/>
    <w:rsid w:val="77B94CA8"/>
    <w:rsid w:val="77E86264"/>
    <w:rsid w:val="78034553"/>
    <w:rsid w:val="78225D97"/>
    <w:rsid w:val="78507C38"/>
    <w:rsid w:val="787A5666"/>
    <w:rsid w:val="78B236E4"/>
    <w:rsid w:val="78C6556E"/>
    <w:rsid w:val="78E06A82"/>
    <w:rsid w:val="79077C59"/>
    <w:rsid w:val="790E7842"/>
    <w:rsid w:val="790F44C2"/>
    <w:rsid w:val="793F0A11"/>
    <w:rsid w:val="79DD2BDF"/>
    <w:rsid w:val="7A485CA4"/>
    <w:rsid w:val="7A602205"/>
    <w:rsid w:val="7ABF68AF"/>
    <w:rsid w:val="7B6902D6"/>
    <w:rsid w:val="7BC6610D"/>
    <w:rsid w:val="7BD134CC"/>
    <w:rsid w:val="7C333EDD"/>
    <w:rsid w:val="7C3619EE"/>
    <w:rsid w:val="7C6C243B"/>
    <w:rsid w:val="7C9537CE"/>
    <w:rsid w:val="7C977CED"/>
    <w:rsid w:val="7C9B5943"/>
    <w:rsid w:val="7D521DBC"/>
    <w:rsid w:val="7E626F25"/>
    <w:rsid w:val="7E762947"/>
    <w:rsid w:val="7E7B28C7"/>
    <w:rsid w:val="7E7F226F"/>
    <w:rsid w:val="7E85156B"/>
    <w:rsid w:val="7E9569B2"/>
    <w:rsid w:val="7F6B396F"/>
    <w:rsid w:val="7F7D54FA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 w:line="240" w:lineRule="auto"/>
      <w:ind w:left="1440" w:leftChars="700" w:right="700" w:rightChars="700"/>
    </w:pPr>
    <w:rPr>
      <w:rFonts w:ascii="Times New Roman" w:hAnsi="Times New Roman" w:cs="Times New Roman"/>
      <w:sz w:val="21"/>
      <w:szCs w:val="22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0"/>
    <w:rPr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11635</Words>
  <Characters>12626</Characters>
  <Lines>125</Lines>
  <Paragraphs>35</Paragraphs>
  <TotalTime>0</TotalTime>
  <ScaleCrop>false</ScaleCrop>
  <LinksUpToDate>false</LinksUpToDate>
  <CharactersWithSpaces>12895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文件存本地丢失不负责</cp:lastModifiedBy>
  <cp:lastPrinted>2021-12-29T01:30:00Z</cp:lastPrinted>
  <dcterms:modified xsi:type="dcterms:W3CDTF">2024-02-29T05:45:09Z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4CF5060ABB7B43D8BB132DC2115985C2</vt:lpwstr>
  </property>
</Properties>
</file>