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148"/>
        <w:gridCol w:w="240"/>
      </w:tblGrid>
      <w:tr>
        <w:tblPrEx>
          <w:tblCellMar>
            <w:top w:w="0" w:type="dxa"/>
            <w:left w:w="108" w:type="dxa"/>
            <w:bottom w:w="0" w:type="dxa"/>
            <w:right w:w="0" w:type="dxa"/>
          </w:tblCellMar>
        </w:tblPrEx>
        <w:trPr>
          <w:trHeight w:val="90" w:hRule="atLeast"/>
          <w:jc w:val="center"/>
        </w:trPr>
        <w:tc>
          <w:tcPr>
            <w:tcW w:w="574" w:type="dxa"/>
          </w:tcPr>
          <w:p>
            <w:pPr>
              <w:adjustRightInd/>
              <w:snapToGrid/>
              <w:spacing w:before="190" w:beforeLines="50" w:after="190" w:afterLines="50" w:line="240" w:lineRule="exact"/>
              <w:ind w:firstLine="0"/>
              <w:jc w:val="left"/>
              <w:rPr>
                <w:rFonts w:ascii="宋体" w:hAnsi="宋体" w:cs="宋体"/>
                <w:szCs w:val="22"/>
              </w:rPr>
            </w:pPr>
          </w:p>
        </w:tc>
        <w:tc>
          <w:tcPr>
            <w:tcW w:w="5319" w:type="dxa"/>
            <w:gridSpan w:val="5"/>
            <w:tcBorders>
              <w:right w:val="nil"/>
            </w:tcBorders>
            <w:vAlign w:val="bottom"/>
          </w:tcPr>
          <w:p>
            <w:pPr>
              <w:adjustRightInd/>
              <w:snapToGrid/>
              <w:spacing w:before="0" w:beforeLines="0" w:after="0" w:afterLines="0" w:line="240" w:lineRule="exact"/>
              <w:ind w:firstLine="0"/>
              <w:jc w:val="right"/>
              <w:rPr>
                <w:rFonts w:ascii="宋体" w:hAnsi="宋体" w:cs="宋体"/>
                <w:color w:val="A5A5A5" w:themeColor="accent3"/>
                <w:sz w:val="24"/>
                <w:szCs w:val="24"/>
                <w14:textFill>
                  <w14:solidFill>
                    <w14:schemeClr w14:val="accent3"/>
                  </w14:solidFill>
                </w14:textFill>
              </w:rPr>
            </w:pPr>
            <w:r>
              <w:rPr>
                <w:rFonts w:hint="eastAsia" w:ascii="黑体" w:hAnsi="黑体" w:eastAsia="黑体" w:cs="黑体"/>
                <w:b/>
                <w:sz w:val="24"/>
                <w:szCs w:val="24"/>
              </w:rPr>
              <w:t>文件号：</w:t>
            </w:r>
          </w:p>
        </w:tc>
        <w:tc>
          <w:tcPr>
            <w:tcW w:w="2281" w:type="dxa"/>
            <w:gridSpan w:val="2"/>
            <w:tcBorders>
              <w:top w:val="nil"/>
              <w:left w:val="nil"/>
              <w:bottom w:val="nil"/>
              <w:right w:val="nil"/>
            </w:tcBorders>
            <w:vAlign w:val="bottom"/>
          </w:tcPr>
          <w:p>
            <w:pPr>
              <w:adjustRightInd/>
              <w:snapToGrid/>
              <w:spacing w:before="0" w:beforeLines="0" w:after="0" w:afterLines="0" w:line="240" w:lineRule="auto"/>
              <w:ind w:firstLine="0"/>
              <w:rPr>
                <w:rFonts w:ascii="Calibri" w:hAnsi="Calibri" w:cs="Times New Roman"/>
                <w:color w:val="A5A5A5" w:themeColor="accent3"/>
                <w:sz w:val="24"/>
                <w:szCs w:val="24"/>
                <w14:textFill>
                  <w14:solidFill>
                    <w14:schemeClr w14:val="accent3"/>
                  </w14:solidFill>
                </w14:textFill>
              </w:rPr>
            </w:pPr>
            <w:r>
              <w:rPr>
                <w:rFonts w:hint="eastAsia" w:ascii="Calibri" w:hAnsi="Calibri" w:cs="Times New Roman"/>
                <w:sz w:val="24"/>
                <w:szCs w:val="24"/>
              </w:rPr>
              <w:t>MS-002.10W001</w:t>
            </w:r>
          </w:p>
        </w:tc>
        <w:tc>
          <w:tcPr>
            <w:tcW w:w="240" w:type="dxa"/>
            <w:tcBorders>
              <w:left w:val="nil"/>
            </w:tcBorders>
          </w:tcPr>
          <w:p>
            <w:pPr>
              <w:adjustRightInd/>
              <w:snapToGrid/>
              <w:spacing w:before="190" w:beforeLines="50" w:after="190" w:afterLines="50" w:line="240" w:lineRule="exact"/>
              <w:ind w:firstLine="0"/>
              <w:jc w:val="left"/>
              <w:rPr>
                <w:rFonts w:ascii="宋体" w:hAnsi="宋体" w:cs="宋体"/>
                <w:sz w:val="24"/>
                <w:szCs w:val="24"/>
              </w:rPr>
            </w:pPr>
          </w:p>
        </w:tc>
      </w:tr>
      <w:tr>
        <w:tblPrEx>
          <w:tblCellMar>
            <w:top w:w="0" w:type="dxa"/>
            <w:left w:w="108" w:type="dxa"/>
            <w:bottom w:w="0" w:type="dxa"/>
            <w:right w:w="0" w:type="dxa"/>
          </w:tblCellMar>
        </w:tblPrEx>
        <w:trPr>
          <w:trHeight w:val="595" w:hRule="atLeast"/>
          <w:jc w:val="center"/>
        </w:trPr>
        <w:tc>
          <w:tcPr>
            <w:tcW w:w="574" w:type="dxa"/>
          </w:tcPr>
          <w:p>
            <w:pPr>
              <w:adjustRightInd/>
              <w:snapToGrid/>
              <w:spacing w:before="190" w:beforeLines="50" w:after="190" w:afterLines="50" w:line="240" w:lineRule="exact"/>
              <w:ind w:firstLine="0"/>
              <w:jc w:val="left"/>
              <w:rPr>
                <w:rFonts w:ascii="宋体" w:hAnsi="宋体" w:cs="宋体"/>
                <w:szCs w:val="22"/>
              </w:rPr>
            </w:pPr>
          </w:p>
        </w:tc>
        <w:tc>
          <w:tcPr>
            <w:tcW w:w="5319" w:type="dxa"/>
            <w:gridSpan w:val="5"/>
            <w:tcBorders>
              <w:right w:val="nil"/>
            </w:tcBorders>
            <w:vAlign w:val="bottom"/>
          </w:tcPr>
          <w:p>
            <w:pPr>
              <w:adjustRightInd/>
              <w:snapToGrid/>
              <w:spacing w:before="0" w:beforeLines="0" w:after="0" w:afterLines="0" w:line="240" w:lineRule="exact"/>
              <w:ind w:firstLine="0"/>
              <w:jc w:val="right"/>
              <w:rPr>
                <w:rFonts w:ascii="宋体" w:hAnsi="宋体" w:cs="宋体"/>
                <w:sz w:val="24"/>
                <w:szCs w:val="24"/>
              </w:rPr>
            </w:pPr>
          </w:p>
        </w:tc>
        <w:tc>
          <w:tcPr>
            <w:tcW w:w="2281" w:type="dxa"/>
            <w:gridSpan w:val="2"/>
            <w:tcBorders>
              <w:top w:val="nil"/>
              <w:left w:val="nil"/>
              <w:bottom w:val="nil"/>
              <w:right w:val="nil"/>
            </w:tcBorders>
            <w:vAlign w:val="bottom"/>
          </w:tcPr>
          <w:p>
            <w:pPr>
              <w:adjustRightInd/>
              <w:snapToGrid/>
              <w:spacing w:before="0" w:beforeLines="0" w:after="0" w:afterLines="0" w:line="240" w:lineRule="auto"/>
              <w:ind w:firstLine="0"/>
              <w:rPr>
                <w:rFonts w:ascii="Calibri" w:hAnsi="Calibri" w:cs="Times New Roman"/>
                <w:sz w:val="24"/>
                <w:szCs w:val="24"/>
              </w:rPr>
            </w:pPr>
          </w:p>
        </w:tc>
        <w:tc>
          <w:tcPr>
            <w:tcW w:w="240" w:type="dxa"/>
            <w:tcBorders>
              <w:left w:val="nil"/>
              <w:bottom w:val="nil"/>
            </w:tcBorders>
            <w:vAlign w:val="bottom"/>
          </w:tcPr>
          <w:p>
            <w:pPr>
              <w:adjustRightInd/>
              <w:snapToGrid/>
              <w:spacing w:before="0" w:beforeLines="0" w:after="0" w:afterLines="0" w:line="240" w:lineRule="auto"/>
              <w:ind w:firstLine="0"/>
              <w:rPr>
                <w:rFonts w:ascii="Calibri" w:hAnsi="Calibri" w:cs="Times New Roman"/>
                <w:sz w:val="24"/>
                <w:szCs w:val="24"/>
              </w:rPr>
            </w:pPr>
          </w:p>
        </w:tc>
      </w:tr>
      <w:tr>
        <w:tblPrEx>
          <w:tblCellMar>
            <w:top w:w="0" w:type="dxa"/>
            <w:left w:w="108" w:type="dxa"/>
            <w:bottom w:w="0" w:type="dxa"/>
            <w:right w:w="0" w:type="dxa"/>
          </w:tblCellMar>
        </w:tblPrEx>
        <w:trPr>
          <w:trHeight w:val="595" w:hRule="atLeast"/>
          <w:jc w:val="center"/>
        </w:trPr>
        <w:tc>
          <w:tcPr>
            <w:tcW w:w="574" w:type="dxa"/>
          </w:tcPr>
          <w:p>
            <w:pPr>
              <w:adjustRightInd/>
              <w:snapToGrid/>
              <w:spacing w:before="0" w:beforeLines="0" w:after="120" w:afterLines="0"/>
              <w:ind w:left="1470" w:leftChars="700" w:right="1470" w:rightChars="700" w:firstLine="0"/>
              <w:rPr>
                <w:rFonts w:ascii="Calibri" w:hAnsi="Calibri" w:cs="Times New Roman"/>
                <w:sz w:val="24"/>
                <w:szCs w:val="24"/>
              </w:rPr>
            </w:pPr>
          </w:p>
        </w:tc>
        <w:tc>
          <w:tcPr>
            <w:tcW w:w="4155" w:type="dxa"/>
            <w:gridSpan w:val="3"/>
          </w:tcPr>
          <w:p>
            <w:pPr>
              <w:adjustRightInd/>
              <w:snapToGrid/>
              <w:spacing w:before="190" w:beforeLines="50" w:after="190" w:afterLines="50" w:line="240" w:lineRule="exact"/>
              <w:ind w:firstLine="0"/>
              <w:jc w:val="left"/>
              <w:rPr>
                <w:rFonts w:ascii="宋体" w:hAnsi="宋体" w:cs="宋体"/>
                <w:sz w:val="24"/>
                <w:szCs w:val="24"/>
              </w:rPr>
            </w:pPr>
          </w:p>
        </w:tc>
        <w:tc>
          <w:tcPr>
            <w:tcW w:w="3685" w:type="dxa"/>
            <w:gridSpan w:val="5"/>
            <w:tcBorders>
              <w:top w:val="nil"/>
            </w:tcBorders>
          </w:tcPr>
          <w:p>
            <w:pPr>
              <w:adjustRightInd/>
              <w:snapToGrid/>
              <w:spacing w:before="190" w:beforeLines="50" w:after="190" w:afterLines="50" w:line="240" w:lineRule="exact"/>
              <w:ind w:firstLine="0"/>
              <w:jc w:val="left"/>
              <w:rPr>
                <w:rFonts w:ascii="宋体" w:hAnsi="宋体" w:cs="宋体"/>
                <w:sz w:val="24"/>
                <w:szCs w:val="24"/>
              </w:rPr>
            </w:pPr>
          </w:p>
        </w:tc>
      </w:tr>
      <w:tr>
        <w:tblPrEx>
          <w:tblCellMar>
            <w:top w:w="0" w:type="dxa"/>
            <w:left w:w="108" w:type="dxa"/>
            <w:bottom w:w="0" w:type="dxa"/>
            <w:right w:w="0" w:type="dxa"/>
          </w:tblCellMar>
        </w:tblPrEx>
        <w:trPr>
          <w:trHeight w:val="1180" w:hRule="atLeast"/>
          <w:jc w:val="center"/>
        </w:trPr>
        <w:tc>
          <w:tcPr>
            <w:tcW w:w="8414" w:type="dxa"/>
            <w:gridSpan w:val="9"/>
            <w:vAlign w:val="center"/>
          </w:tcPr>
          <w:p>
            <w:pPr>
              <w:adjustRightInd/>
              <w:snapToGrid/>
              <w:spacing w:before="0" w:beforeLines="0" w:after="0" w:afterLines="0" w:line="240" w:lineRule="auto"/>
              <w:ind w:firstLine="0"/>
              <w:jc w:val="center"/>
              <w:rPr>
                <w:rFonts w:ascii="宋体" w:hAnsi="宋体" w:cs="宋体"/>
                <w:color w:val="A5A5A5" w:themeColor="accent3"/>
                <w:sz w:val="24"/>
                <w:szCs w:val="24"/>
                <w14:textFill>
                  <w14:solidFill>
                    <w14:schemeClr w14:val="accent3"/>
                  </w14:solidFill>
                </w14:textFill>
              </w:rPr>
            </w:pPr>
            <w:r>
              <w:rPr>
                <w:rFonts w:hint="eastAsia" w:asciiTheme="minorEastAsia" w:hAnsiTheme="minorEastAsia" w:eastAsiaTheme="minorEastAsia" w:cstheme="minorEastAsia"/>
                <w:b/>
                <w:bCs/>
                <w:sz w:val="52"/>
                <w:szCs w:val="52"/>
              </w:rPr>
              <w:t>MS-002</w:t>
            </w:r>
          </w:p>
        </w:tc>
      </w:tr>
      <w:tr>
        <w:tblPrEx>
          <w:tblCellMar>
            <w:top w:w="0" w:type="dxa"/>
            <w:left w:w="108" w:type="dxa"/>
            <w:bottom w:w="0" w:type="dxa"/>
            <w:right w:w="0" w:type="dxa"/>
          </w:tblCellMar>
        </w:tblPrEx>
        <w:trPr>
          <w:trHeight w:val="780" w:hRule="atLeast"/>
          <w:jc w:val="center"/>
          <w:hidden/>
        </w:trPr>
        <w:tc>
          <w:tcPr>
            <w:tcW w:w="8414" w:type="dxa"/>
            <w:gridSpan w:val="9"/>
            <w:vAlign w:val="center"/>
          </w:tcPr>
          <w:p>
            <w:pPr>
              <w:adjustRightInd/>
              <w:snapToGrid/>
              <w:spacing w:before="0" w:beforeLines="0" w:after="0" w:afterLines="0" w:line="240" w:lineRule="auto"/>
              <w:ind w:firstLine="0"/>
              <w:jc w:val="center"/>
              <w:rPr>
                <w:rFonts w:ascii="宋体" w:hAnsi="宋体" w:cs="宋体"/>
                <w:color w:val="A5A5A5" w:themeColor="accent3"/>
                <w:sz w:val="28"/>
                <w:szCs w:val="28"/>
                <w14:textFill>
                  <w14:solidFill>
                    <w14:schemeClr w14:val="accent3"/>
                  </w14:solidFill>
                </w14:textFill>
              </w:rPr>
            </w:pPr>
            <w:r>
              <w:rPr>
                <w:rFonts w:hint="eastAsia" w:asciiTheme="minorEastAsia" w:hAnsiTheme="minorEastAsia" w:eastAsiaTheme="minorEastAsia" w:cstheme="minorEastAsia"/>
                <w:b/>
                <w:bCs/>
                <w:vanish/>
                <w:color w:val="0000FF"/>
                <w:sz w:val="52"/>
                <w:szCs w:val="52"/>
              </w:rPr>
              <w:t>骨科手术导航定位系统</w:t>
            </w:r>
          </w:p>
        </w:tc>
      </w:tr>
      <w:tr>
        <w:tblPrEx>
          <w:tblCellMar>
            <w:top w:w="0" w:type="dxa"/>
            <w:left w:w="108" w:type="dxa"/>
            <w:bottom w:w="0" w:type="dxa"/>
            <w:right w:w="0" w:type="dxa"/>
          </w:tblCellMar>
        </w:tblPrEx>
        <w:trPr>
          <w:trHeight w:val="1180" w:hRule="atLeast"/>
          <w:jc w:val="center"/>
        </w:trPr>
        <w:tc>
          <w:tcPr>
            <w:tcW w:w="8414" w:type="dxa"/>
            <w:gridSpan w:val="9"/>
            <w:vAlign w:val="center"/>
          </w:tcPr>
          <w:p>
            <w:pPr>
              <w:adjustRightInd/>
              <w:snapToGrid/>
              <w:spacing w:before="0" w:beforeLines="0" w:after="0" w:afterLines="0" w:line="240" w:lineRule="auto"/>
              <w:ind w:firstLine="0"/>
              <w:jc w:val="center"/>
              <w:rPr>
                <w:rFonts w:hint="eastAsia" w:ascii="宋体" w:hAnsi="宋体" w:cs="宋体" w:eastAsiaTheme="minorEastAsia"/>
                <w:sz w:val="44"/>
                <w:szCs w:val="44"/>
              </w:rPr>
            </w:pPr>
            <w:r>
              <w:rPr>
                <w:rFonts w:hint="eastAsia" w:asciiTheme="minorEastAsia" w:hAnsiTheme="minorEastAsia" w:eastAsiaTheme="minorEastAsia" w:cstheme="minorEastAsia"/>
                <w:b/>
                <w:bCs/>
                <w:sz w:val="52"/>
                <w:szCs w:val="52"/>
                <w:lang w:eastAsia="zh-CN"/>
              </w:rPr>
              <w:t>系统</w:t>
            </w:r>
            <w:r>
              <w:rPr>
                <w:rFonts w:hint="eastAsia" w:asciiTheme="minorEastAsia" w:hAnsiTheme="minorEastAsia" w:eastAsiaTheme="minorEastAsia" w:cstheme="minorEastAsia"/>
                <w:b/>
                <w:bCs/>
                <w:sz w:val="52"/>
                <w:szCs w:val="52"/>
              </w:rPr>
              <w:t>方案</w:t>
            </w:r>
            <w:r>
              <w:rPr>
                <w:rFonts w:hint="eastAsia" w:asciiTheme="minorEastAsia" w:hAnsiTheme="minorEastAsia" w:eastAsiaTheme="minorEastAsia" w:cstheme="minorEastAsia"/>
                <w:b/>
                <w:bCs/>
                <w:sz w:val="52"/>
                <w:szCs w:val="52"/>
                <w:lang w:val="en-US" w:eastAsia="zh-CN"/>
              </w:rPr>
              <w:t>设计</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vAlign w:val="center"/>
          </w:tcPr>
          <w:p>
            <w:pPr>
              <w:adjustRightInd/>
              <w:snapToGrid/>
              <w:spacing w:before="190" w:beforeLines="50" w:after="190" w:afterLines="50"/>
              <w:ind w:firstLine="0"/>
              <w:jc w:val="right"/>
              <w:rPr>
                <w:rFonts w:ascii="Times New Roman" w:hAnsi="Times New Roman" w:cs="Times New Roman"/>
                <w:sz w:val="32"/>
                <w:szCs w:val="32"/>
              </w:rPr>
            </w:pPr>
          </w:p>
        </w:tc>
        <w:tc>
          <w:tcPr>
            <w:tcW w:w="2148" w:type="dxa"/>
            <w:tcBorders>
              <w:top w:val="nil"/>
              <w:left w:val="nil"/>
              <w:bottom w:val="nil"/>
              <w:right w:val="nil"/>
            </w:tcBorders>
            <w:vAlign w:val="bottom"/>
          </w:tcPr>
          <w:p>
            <w:pPr>
              <w:adjustRightInd/>
              <w:snapToGrid/>
              <w:spacing w:before="190" w:beforeLines="50" w:after="190" w:afterLines="50"/>
              <w:ind w:firstLine="0"/>
              <w:jc w:val="left"/>
              <w:rPr>
                <w:rFonts w:ascii="Times New Roman" w:hAnsi="Times New Roman" w:cs="Times New Roman"/>
                <w:sz w:val="32"/>
                <w:szCs w:val="32"/>
              </w:rPr>
            </w:pPr>
          </w:p>
        </w:tc>
        <w:tc>
          <w:tcPr>
            <w:tcW w:w="1103" w:type="dxa"/>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997" w:type="dxa"/>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388" w:type="dxa"/>
            <w:gridSpan w:val="2"/>
            <w:tcBorders>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vAlign w:val="center"/>
          </w:tcPr>
          <w:p>
            <w:pPr>
              <w:adjustRightInd/>
              <w:snapToGrid/>
              <w:spacing w:before="190" w:beforeLines="50" w:after="190" w:afterLines="50"/>
              <w:ind w:firstLine="0"/>
              <w:jc w:val="right"/>
              <w:rPr>
                <w:rFonts w:ascii="Times New Roman" w:hAnsi="Times New Roman" w:cs="Times New Roman"/>
                <w:sz w:val="32"/>
                <w:szCs w:val="32"/>
              </w:rPr>
            </w:pPr>
          </w:p>
        </w:tc>
        <w:tc>
          <w:tcPr>
            <w:tcW w:w="2148" w:type="dxa"/>
            <w:tcBorders>
              <w:top w:val="nil"/>
              <w:left w:val="nil"/>
              <w:bottom w:val="nil"/>
              <w:right w:val="nil"/>
            </w:tcBorders>
            <w:vAlign w:val="bottom"/>
          </w:tcPr>
          <w:p>
            <w:pPr>
              <w:adjustRightInd/>
              <w:snapToGrid/>
              <w:spacing w:before="190" w:beforeLines="50" w:after="190" w:afterLines="50"/>
              <w:ind w:firstLine="0"/>
              <w:jc w:val="left"/>
              <w:rPr>
                <w:rFonts w:ascii="Times New Roman" w:hAnsi="Times New Roman" w:cs="Times New Roman"/>
                <w:sz w:val="32"/>
                <w:szCs w:val="32"/>
              </w:rPr>
            </w:pPr>
          </w:p>
        </w:tc>
        <w:tc>
          <w:tcPr>
            <w:tcW w:w="1103" w:type="dxa"/>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997" w:type="dxa"/>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pPr>
              <w:adjustRightInd/>
              <w:snapToGrid/>
              <w:spacing w:before="190" w:beforeLines="50" w:after="190" w:afterLines="50"/>
              <w:ind w:firstLine="0"/>
              <w:jc w:val="right"/>
              <w:rPr>
                <w:rFonts w:ascii="Times New Roman" w:hAnsi="Times New Roman" w:cs="Times New Roman"/>
                <w:sz w:val="32"/>
                <w:szCs w:val="32"/>
              </w:rPr>
            </w:pPr>
          </w:p>
        </w:tc>
        <w:tc>
          <w:tcPr>
            <w:tcW w:w="388" w:type="dxa"/>
            <w:gridSpan w:val="2"/>
            <w:tcBorders>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vAlign w:val="center"/>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编制人：</w:t>
            </w:r>
          </w:p>
        </w:tc>
        <w:tc>
          <w:tcPr>
            <w:tcW w:w="2148" w:type="dxa"/>
            <w:tcBorders>
              <w:top w:val="nil"/>
              <w:left w:val="nil"/>
              <w:bottom w:val="single" w:color="auto" w:sz="4" w:space="0"/>
              <w:right w:val="nil"/>
            </w:tcBorders>
            <w:vAlign w:val="bottom"/>
          </w:tcPr>
          <w:p>
            <w:pPr>
              <w:adjustRightInd w:val="0"/>
              <w:snapToGrid w:val="0"/>
              <w:spacing w:before="190" w:beforeLines="50" w:after="190" w:afterLines="50"/>
              <w:ind w:firstLine="0"/>
              <w:jc w:val="left"/>
              <w:rPr>
                <w:rFonts w:hint="eastAsia" w:ascii="Times New Roman" w:hAnsi="Times New Roman" w:cs="Times New Roman"/>
                <w:sz w:val="32"/>
                <w:szCs w:val="32"/>
              </w:rPr>
            </w:pPr>
            <w:r>
              <w:rPr>
                <w:rFonts w:hint="eastAsia" w:cs="Times New Roman"/>
                <w:vanish/>
                <w:color w:val="0000FF"/>
                <w:sz w:val="32"/>
                <w:szCs w:val="32"/>
                <w:lang w:val="en-US" w:eastAsia="zh-CN"/>
              </w:rPr>
              <w:t>徐琦</w:t>
            </w:r>
          </w:p>
        </w:tc>
        <w:tc>
          <w:tcPr>
            <w:tcW w:w="1103" w:type="dxa"/>
            <w:tcBorders>
              <w:top w:val="nil"/>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97" w:type="dxa"/>
            <w:tcBorders>
              <w:top w:val="nil"/>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 xml:space="preserve">日期：  </w:t>
            </w:r>
          </w:p>
        </w:tc>
        <w:tc>
          <w:tcPr>
            <w:tcW w:w="2300" w:type="dxa"/>
            <w:gridSpan w:val="2"/>
            <w:tcBorders>
              <w:top w:val="nil"/>
              <w:left w:val="nil"/>
              <w:bottom w:val="single" w:color="auto" w:sz="4" w:space="0"/>
              <w:right w:val="nil"/>
            </w:tcBorders>
            <w:vAlign w:val="bottom"/>
          </w:tcPr>
          <w:p>
            <w:pPr>
              <w:adjustRightInd w:val="0"/>
              <w:snapToGrid w:val="0"/>
              <w:spacing w:before="190" w:beforeLines="50" w:after="190" w:afterLines="50"/>
              <w:ind w:firstLine="0"/>
              <w:jc w:val="center"/>
              <w:rPr>
                <w:rFonts w:ascii="Times New Roman" w:hAnsi="Times New Roman" w:cs="Times New Roman"/>
                <w:sz w:val="32"/>
                <w:szCs w:val="32"/>
              </w:rPr>
            </w:pPr>
            <w:r>
              <w:rPr>
                <w:rFonts w:hint="eastAsia" w:asciiTheme="minorEastAsia" w:hAnsiTheme="minorEastAsia" w:eastAsiaTheme="minorEastAsia" w:cstheme="minorEastAsia"/>
                <w:vanish/>
                <w:color w:val="0000FF"/>
                <w:sz w:val="32"/>
                <w:szCs w:val="32"/>
              </w:rPr>
              <w:t>2022.04.06</w:t>
            </w:r>
          </w:p>
        </w:tc>
        <w:tc>
          <w:tcPr>
            <w:tcW w:w="388" w:type="dxa"/>
            <w:gridSpan w:val="2"/>
            <w:tcBorders>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791" w:hRule="atLeast"/>
          <w:jc w:val="center"/>
        </w:trPr>
        <w:tc>
          <w:tcPr>
            <w:tcW w:w="574" w:type="dxa"/>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04" w:type="dxa"/>
            <w:tcBorders>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2148" w:type="dxa"/>
            <w:tcBorders>
              <w:top w:val="single" w:color="auto" w:sz="4" w:space="0"/>
              <w:left w:val="nil"/>
              <w:right w:val="nil"/>
            </w:tcBorders>
            <w:vAlign w:val="bottom"/>
          </w:tcPr>
          <w:p>
            <w:pPr>
              <w:adjustRightInd w:val="0"/>
              <w:snapToGrid w:val="0"/>
              <w:spacing w:before="190" w:beforeLines="50" w:after="190" w:afterLines="50"/>
              <w:ind w:firstLine="0"/>
              <w:jc w:val="left"/>
              <w:rPr>
                <w:rFonts w:ascii="Times New Roman" w:hAnsi="Times New Roman" w:cs="Times New Roman"/>
                <w:sz w:val="32"/>
                <w:szCs w:val="32"/>
              </w:rPr>
            </w:pPr>
          </w:p>
        </w:tc>
        <w:tc>
          <w:tcPr>
            <w:tcW w:w="1103" w:type="dxa"/>
            <w:tcBorders>
              <w:left w:val="nil"/>
              <w:right w:val="nil"/>
            </w:tcBorders>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97" w:type="dxa"/>
            <w:tcBorders>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2300" w:type="dxa"/>
            <w:gridSpan w:val="2"/>
            <w:tcBorders>
              <w:top w:val="single" w:color="auto" w:sz="4" w:space="0"/>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388" w:type="dxa"/>
            <w:gridSpan w:val="2"/>
            <w:tcBorders>
              <w:top w:val="nil"/>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 xml:space="preserve">审核人：            </w:t>
            </w:r>
          </w:p>
        </w:tc>
        <w:tc>
          <w:tcPr>
            <w:tcW w:w="2148" w:type="dxa"/>
            <w:tcBorders>
              <w:left w:val="nil"/>
              <w:bottom w:val="single" w:color="auto" w:sz="4" w:space="0"/>
              <w:right w:val="nil"/>
            </w:tcBorders>
            <w:vAlign w:val="bottom"/>
          </w:tcPr>
          <w:p>
            <w:pPr>
              <w:adjustRightInd w:val="0"/>
              <w:snapToGrid w:val="0"/>
              <w:spacing w:before="190" w:beforeLines="50" w:after="190" w:afterLines="50"/>
              <w:ind w:firstLine="0"/>
              <w:jc w:val="left"/>
              <w:rPr>
                <w:rFonts w:ascii="Times New Roman" w:hAnsi="Times New Roman" w:cs="Times New Roman"/>
                <w:sz w:val="32"/>
                <w:szCs w:val="32"/>
              </w:rPr>
            </w:pPr>
            <w:r>
              <w:rPr>
                <w:rFonts w:hint="eastAsia" w:ascii="Times New Roman" w:hAnsi="Times New Roman" w:cs="Times New Roman"/>
                <w:vanish/>
                <w:color w:val="0000FF"/>
                <w:sz w:val="32"/>
                <w:szCs w:val="32"/>
              </w:rPr>
              <w:t>李明</w:t>
            </w:r>
          </w:p>
        </w:tc>
        <w:tc>
          <w:tcPr>
            <w:tcW w:w="1103" w:type="dxa"/>
            <w:tcBorders>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97" w:type="dxa"/>
            <w:tcBorders>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 xml:space="preserve">日期：  </w:t>
            </w:r>
          </w:p>
        </w:tc>
        <w:tc>
          <w:tcPr>
            <w:tcW w:w="2300" w:type="dxa"/>
            <w:gridSpan w:val="2"/>
            <w:tcBorders>
              <w:left w:val="nil"/>
              <w:bottom w:val="single" w:color="auto" w:sz="4" w:space="0"/>
              <w:right w:val="nil"/>
            </w:tcBorders>
            <w:vAlign w:val="bottom"/>
          </w:tcPr>
          <w:p>
            <w:pPr>
              <w:adjustRightInd w:val="0"/>
              <w:snapToGrid w:val="0"/>
              <w:spacing w:before="190" w:beforeLines="50" w:after="190" w:afterLines="50"/>
              <w:ind w:firstLine="0"/>
              <w:jc w:val="center"/>
              <w:rPr>
                <w:rFonts w:ascii="Times New Roman" w:hAnsi="Times New Roman" w:cs="Times New Roman"/>
                <w:sz w:val="32"/>
                <w:szCs w:val="32"/>
              </w:rPr>
            </w:pPr>
            <w:r>
              <w:rPr>
                <w:rFonts w:hint="eastAsia" w:asciiTheme="minorEastAsia" w:hAnsiTheme="minorEastAsia" w:eastAsiaTheme="minorEastAsia" w:cstheme="minorEastAsia"/>
                <w:vanish/>
                <w:color w:val="0000FF"/>
                <w:sz w:val="32"/>
                <w:szCs w:val="32"/>
              </w:rPr>
              <w:t>2022.04.06</w:t>
            </w:r>
          </w:p>
        </w:tc>
        <w:tc>
          <w:tcPr>
            <w:tcW w:w="388" w:type="dxa"/>
            <w:gridSpan w:val="2"/>
            <w:tcBorders>
              <w:top w:val="nil"/>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938" w:hRule="atLeast"/>
          <w:jc w:val="center"/>
        </w:trPr>
        <w:tc>
          <w:tcPr>
            <w:tcW w:w="574" w:type="dxa"/>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04" w:type="dxa"/>
            <w:tcBorders>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2148" w:type="dxa"/>
            <w:tcBorders>
              <w:top w:val="single" w:color="auto" w:sz="4" w:space="0"/>
              <w:left w:val="nil"/>
              <w:right w:val="nil"/>
            </w:tcBorders>
            <w:vAlign w:val="bottom"/>
          </w:tcPr>
          <w:p>
            <w:pPr>
              <w:adjustRightInd w:val="0"/>
              <w:snapToGrid w:val="0"/>
              <w:spacing w:before="190" w:beforeLines="50" w:after="190" w:afterLines="50"/>
              <w:ind w:firstLine="0"/>
              <w:jc w:val="left"/>
              <w:rPr>
                <w:rFonts w:ascii="Times New Roman" w:hAnsi="Times New Roman" w:cs="Times New Roman"/>
                <w:sz w:val="32"/>
                <w:szCs w:val="32"/>
              </w:rPr>
            </w:pPr>
          </w:p>
        </w:tc>
        <w:tc>
          <w:tcPr>
            <w:tcW w:w="1103" w:type="dxa"/>
            <w:tcBorders>
              <w:left w:val="nil"/>
              <w:right w:val="nil"/>
            </w:tcBorders>
            <w:vAlign w:val="center"/>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97" w:type="dxa"/>
            <w:tcBorders>
              <w:left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2300" w:type="dxa"/>
            <w:gridSpan w:val="2"/>
            <w:tcBorders>
              <w:top w:val="single" w:color="auto" w:sz="4" w:space="0"/>
              <w:left w:val="nil"/>
              <w:right w:val="nil"/>
            </w:tcBorders>
            <w:vAlign w:val="bottom"/>
          </w:tcPr>
          <w:p>
            <w:pPr>
              <w:adjustRightInd w:val="0"/>
              <w:snapToGrid w:val="0"/>
              <w:spacing w:before="190" w:beforeLines="50" w:after="190" w:afterLines="50"/>
              <w:ind w:firstLine="0"/>
              <w:jc w:val="center"/>
              <w:rPr>
                <w:rFonts w:ascii="Times New Roman" w:hAnsi="Times New Roman" w:cs="Times New Roman"/>
                <w:sz w:val="32"/>
                <w:szCs w:val="32"/>
              </w:rPr>
            </w:pPr>
          </w:p>
        </w:tc>
        <w:tc>
          <w:tcPr>
            <w:tcW w:w="388" w:type="dxa"/>
            <w:gridSpan w:val="2"/>
            <w:tcBorders>
              <w:top w:val="nil"/>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 xml:space="preserve">批准人：          </w:t>
            </w:r>
          </w:p>
        </w:tc>
        <w:tc>
          <w:tcPr>
            <w:tcW w:w="2148" w:type="dxa"/>
            <w:tcBorders>
              <w:left w:val="nil"/>
              <w:bottom w:val="single" w:color="auto" w:sz="4" w:space="0"/>
              <w:right w:val="nil"/>
            </w:tcBorders>
            <w:vAlign w:val="bottom"/>
          </w:tcPr>
          <w:p>
            <w:pPr>
              <w:adjustRightInd w:val="0"/>
              <w:snapToGrid w:val="0"/>
              <w:spacing w:before="190" w:beforeLines="50" w:after="190" w:afterLines="50"/>
              <w:ind w:firstLine="0"/>
              <w:jc w:val="left"/>
              <w:rPr>
                <w:rFonts w:hint="eastAsia" w:ascii="Times New Roman" w:hAnsi="Times New Roman" w:cs="Times New Roman"/>
                <w:sz w:val="32"/>
                <w:szCs w:val="32"/>
              </w:rPr>
            </w:pPr>
            <w:r>
              <w:rPr>
                <w:rFonts w:hint="eastAsia" w:cs="Times New Roman"/>
                <w:vanish/>
                <w:color w:val="0000FF"/>
                <w:sz w:val="32"/>
                <w:szCs w:val="32"/>
                <w:lang w:val="en-US" w:eastAsia="zh-CN"/>
              </w:rPr>
              <w:t>沈丽萍</w:t>
            </w:r>
          </w:p>
        </w:tc>
        <w:tc>
          <w:tcPr>
            <w:tcW w:w="1103" w:type="dxa"/>
            <w:tcBorders>
              <w:left w:val="nil"/>
              <w:bottom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p>
        </w:tc>
        <w:tc>
          <w:tcPr>
            <w:tcW w:w="997" w:type="dxa"/>
            <w:tcBorders>
              <w:left w:val="nil"/>
              <w:bottom w:val="nil"/>
              <w:right w:val="nil"/>
            </w:tcBorders>
            <w:vAlign w:val="bottom"/>
          </w:tcPr>
          <w:p>
            <w:pPr>
              <w:adjustRightInd w:val="0"/>
              <w:snapToGrid w:val="0"/>
              <w:spacing w:before="190" w:beforeLines="50" w:after="190" w:afterLines="50"/>
              <w:ind w:firstLine="0"/>
              <w:jc w:val="right"/>
              <w:rPr>
                <w:rFonts w:ascii="Times New Roman" w:hAnsi="Times New Roman" w:cs="Times New Roman"/>
                <w:sz w:val="32"/>
                <w:szCs w:val="32"/>
              </w:rPr>
            </w:pPr>
            <w:r>
              <w:rPr>
                <w:rFonts w:hint="eastAsia" w:ascii="Times New Roman" w:hAnsi="Times New Roman" w:cs="Times New Roman"/>
                <w:sz w:val="32"/>
                <w:szCs w:val="32"/>
              </w:rPr>
              <w:t xml:space="preserve">日期：  </w:t>
            </w:r>
          </w:p>
        </w:tc>
        <w:tc>
          <w:tcPr>
            <w:tcW w:w="2300" w:type="dxa"/>
            <w:gridSpan w:val="2"/>
            <w:tcBorders>
              <w:left w:val="nil"/>
              <w:bottom w:val="single" w:color="auto" w:sz="4" w:space="0"/>
              <w:right w:val="nil"/>
            </w:tcBorders>
            <w:vAlign w:val="bottom"/>
          </w:tcPr>
          <w:p>
            <w:pPr>
              <w:adjustRightInd w:val="0"/>
              <w:snapToGrid w:val="0"/>
              <w:spacing w:before="190" w:beforeLines="50" w:after="190" w:afterLines="50"/>
              <w:ind w:firstLine="0"/>
              <w:jc w:val="center"/>
              <w:rPr>
                <w:rFonts w:ascii="Times New Roman" w:hAnsi="Times New Roman" w:cs="Times New Roman"/>
                <w:sz w:val="32"/>
                <w:szCs w:val="32"/>
              </w:rPr>
            </w:pPr>
            <w:r>
              <w:rPr>
                <w:rFonts w:hint="eastAsia" w:asciiTheme="minorEastAsia" w:hAnsiTheme="minorEastAsia" w:eastAsiaTheme="minorEastAsia" w:cstheme="minorEastAsia"/>
                <w:vanish/>
                <w:color w:val="0000FF"/>
                <w:sz w:val="32"/>
                <w:szCs w:val="32"/>
              </w:rPr>
              <w:t>2022.04.06</w:t>
            </w:r>
          </w:p>
        </w:tc>
        <w:tc>
          <w:tcPr>
            <w:tcW w:w="388" w:type="dxa"/>
            <w:gridSpan w:val="2"/>
            <w:tcBorders>
              <w:top w:val="nil"/>
              <w:left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674" w:hRule="atLeast"/>
          <w:jc w:val="center"/>
        </w:trPr>
        <w:tc>
          <w:tcPr>
            <w:tcW w:w="574" w:type="dxa"/>
          </w:tcPr>
          <w:p>
            <w:pPr>
              <w:adjustRightInd/>
              <w:snapToGrid/>
              <w:spacing w:before="190" w:beforeLines="50" w:after="190" w:afterLines="50" w:line="300" w:lineRule="exact"/>
              <w:ind w:firstLine="0"/>
              <w:jc w:val="left"/>
              <w:rPr>
                <w:rFonts w:ascii="宋体" w:hAnsi="宋体" w:cs="宋体"/>
                <w:szCs w:val="21"/>
              </w:rPr>
            </w:pPr>
          </w:p>
        </w:tc>
        <w:tc>
          <w:tcPr>
            <w:tcW w:w="4155" w:type="dxa"/>
            <w:gridSpan w:val="3"/>
            <w:tcBorders>
              <w:top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c>
          <w:tcPr>
            <w:tcW w:w="3685" w:type="dxa"/>
            <w:gridSpan w:val="5"/>
            <w:tcBorders>
              <w:top w:val="nil"/>
              <w:bottom w:val="nil"/>
            </w:tcBorders>
          </w:tcPr>
          <w:p>
            <w:pPr>
              <w:adjustRightInd/>
              <w:snapToGrid/>
              <w:spacing w:before="190" w:beforeLines="50" w:after="190" w:afterLines="50" w:line="300" w:lineRule="exact"/>
              <w:ind w:firstLine="0"/>
              <w:jc w:val="left"/>
              <w:rPr>
                <w:rFonts w:ascii="宋体" w:hAnsi="宋体" w:cs="宋体"/>
                <w:sz w:val="28"/>
                <w:szCs w:val="28"/>
              </w:rPr>
            </w:pPr>
          </w:p>
        </w:tc>
      </w:tr>
      <w:tr>
        <w:tblPrEx>
          <w:tblCellMar>
            <w:top w:w="0" w:type="dxa"/>
            <w:left w:w="108" w:type="dxa"/>
            <w:bottom w:w="0" w:type="dxa"/>
            <w:right w:w="0" w:type="dxa"/>
          </w:tblCellMar>
        </w:tblPrEx>
        <w:trPr>
          <w:trHeight w:val="674" w:hRule="atLeast"/>
          <w:jc w:val="center"/>
        </w:trPr>
        <w:tc>
          <w:tcPr>
            <w:tcW w:w="8414" w:type="dxa"/>
            <w:gridSpan w:val="9"/>
          </w:tcPr>
          <w:p>
            <w:pPr>
              <w:adjustRightInd/>
              <w:snapToGrid/>
              <w:spacing w:before="0" w:beforeLines="0" w:after="0" w:afterLines="0" w:line="240" w:lineRule="auto"/>
              <w:ind w:firstLine="0"/>
              <w:jc w:val="center"/>
              <w:rPr>
                <w:rFonts w:ascii="宋体" w:hAnsi="宋体" w:cs="宋体"/>
                <w:sz w:val="28"/>
                <w:szCs w:val="28"/>
              </w:rPr>
            </w:pPr>
          </w:p>
        </w:tc>
      </w:tr>
    </w:tbl>
    <w:p>
      <w:pPr>
        <w:adjustRightInd w:val="0"/>
        <w:snapToGrid w:val="0"/>
        <w:spacing w:before="190" w:beforeLines="50" w:after="190" w:afterLines="50"/>
        <w:ind w:firstLine="0"/>
        <w:rPr>
          <w:rFonts w:asciiTheme="minorHAnsi" w:hAnsiTheme="minorHAnsi" w:cstheme="minorBidi"/>
          <w:b/>
          <w:bCs/>
          <w:sz w:val="28"/>
          <w:szCs w:val="24"/>
        </w:rPr>
      </w:pPr>
      <w:r>
        <w:rPr>
          <w:rFonts w:hint="eastAsia" w:asciiTheme="minorHAnsi" w:hAnsiTheme="minorHAnsi" w:cstheme="minorBidi"/>
          <w:b/>
          <w:bCs/>
          <w:sz w:val="28"/>
          <w:szCs w:val="24"/>
        </w:rPr>
        <w:br w:type="page"/>
      </w:r>
    </w:p>
    <w:p>
      <w:pPr>
        <w:adjustRightInd/>
        <w:snapToGrid/>
        <w:spacing w:before="0" w:beforeLines="0" w:after="0" w:afterLines="0"/>
        <w:ind w:firstLine="0"/>
        <w:jc w:val="center"/>
        <w:rPr>
          <w:rFonts w:asciiTheme="minorHAnsi" w:hAnsiTheme="minorHAnsi" w:cstheme="minorBidi"/>
          <w:b/>
          <w:bCs/>
          <w:sz w:val="28"/>
          <w:szCs w:val="24"/>
        </w:rPr>
      </w:pPr>
      <w:r>
        <w:rPr>
          <w:rFonts w:hint="eastAsia" w:asciiTheme="minorHAnsi" w:hAnsiTheme="minorHAnsi" w:cstheme="minorBidi"/>
          <w:b/>
          <w:bCs/>
          <w:sz w:val="28"/>
          <w:szCs w:val="24"/>
        </w:rPr>
        <w:t>文档修订履历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1740"/>
        <w:gridCol w:w="3991"/>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宋体" w:cs="Times New Roman"/>
                <w:bCs/>
                <w:sz w:val="28"/>
                <w:szCs w:val="21"/>
              </w:rPr>
              <w:t>版本号</w:t>
            </w:r>
          </w:p>
        </w:tc>
        <w:tc>
          <w:tcPr>
            <w:tcW w:w="1985" w:type="dxa"/>
            <w:shd w:val="pct10" w:color="auto" w:fill="auto"/>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宋体" w:cs="Times New Roman"/>
                <w:bCs/>
                <w:sz w:val="28"/>
                <w:szCs w:val="21"/>
              </w:rPr>
              <w:t>发布日期</w:t>
            </w:r>
          </w:p>
        </w:tc>
        <w:tc>
          <w:tcPr>
            <w:tcW w:w="4678" w:type="dxa"/>
            <w:shd w:val="pct10" w:color="auto" w:fill="auto"/>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宋体" w:cs="Times New Roman"/>
                <w:bCs/>
                <w:sz w:val="28"/>
                <w:szCs w:val="21"/>
              </w:rPr>
              <w:t>更改内容概述</w:t>
            </w:r>
          </w:p>
        </w:tc>
        <w:tc>
          <w:tcPr>
            <w:tcW w:w="1842" w:type="dxa"/>
            <w:shd w:val="pct10" w:color="auto" w:fill="auto"/>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宋体" w:cs="Times New Roman"/>
                <w:bCs/>
                <w:sz w:val="28"/>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Times New Roman" w:cs="Times New Roman"/>
                <w:bCs/>
                <w:sz w:val="28"/>
                <w:szCs w:val="21"/>
              </w:rPr>
              <w:t>V1.0</w:t>
            </w: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hint="eastAsia" w:ascii="Times New Roman" w:hAnsi="Times New Roman" w:cs="Times New Roman"/>
                <w:bCs/>
                <w:sz w:val="28"/>
                <w:szCs w:val="21"/>
              </w:rPr>
              <w:t xml:space="preserve"> </w:t>
            </w: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r>
              <w:rPr>
                <w:rFonts w:ascii="Times New Roman" w:hAnsi="宋体" w:cs="Times New Roman"/>
                <w:bCs/>
                <w:sz w:val="28"/>
                <w:szCs w:val="21"/>
              </w:rPr>
              <w:t>文件新编</w:t>
            </w:r>
          </w:p>
        </w:tc>
        <w:tc>
          <w:tcPr>
            <w:tcW w:w="1842" w:type="dxa"/>
            <w:vAlign w:val="center"/>
          </w:tcPr>
          <w:p>
            <w:pPr>
              <w:widowControl/>
              <w:adjustRightInd/>
              <w:snapToGrid w:val="0"/>
              <w:spacing w:before="0" w:beforeLines="0" w:after="0" w:afterLines="0" w:line="240" w:lineRule="auto"/>
              <w:ind w:firstLine="0"/>
              <w:jc w:val="center"/>
              <w:rPr>
                <w:rFonts w:hint="eastAsia" w:ascii="Times New Roman" w:hAnsi="Times New Roman" w:cs="Times New Roman"/>
                <w:bCs/>
                <w:sz w:val="28"/>
                <w:szCs w:val="21"/>
              </w:rPr>
            </w:pPr>
            <w:r>
              <w:rPr>
                <w:rFonts w:hint="eastAsia" w:cs="Times New Roman"/>
                <w:bCs/>
                <w:sz w:val="28"/>
                <w:szCs w:val="21"/>
                <w:lang w:eastAsia="zh-CN"/>
              </w:rPr>
              <w:t>徐琦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985"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4678"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c>
          <w:tcPr>
            <w:tcW w:w="1842" w:type="dxa"/>
            <w:vAlign w:val="center"/>
          </w:tcPr>
          <w:p>
            <w:pPr>
              <w:widowControl/>
              <w:adjustRightInd/>
              <w:snapToGrid w:val="0"/>
              <w:spacing w:before="0" w:beforeLines="0" w:after="0" w:afterLines="0" w:line="240" w:lineRule="auto"/>
              <w:ind w:firstLine="0"/>
              <w:jc w:val="center"/>
              <w:rPr>
                <w:rFonts w:ascii="Times New Roman" w:hAnsi="Times New Roman" w:cs="Times New Roman"/>
                <w:bCs/>
                <w:sz w:val="28"/>
                <w:szCs w:val="21"/>
              </w:rPr>
            </w:pPr>
          </w:p>
        </w:tc>
      </w:tr>
    </w:tbl>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imes New Roman" w:hAnsi="Times New Roman" w:cs="Times New Roman"/>
          <w:sz w:val="32"/>
          <w:szCs w:val="40"/>
        </w:rPr>
      </w:pPr>
    </w:p>
    <w:p>
      <w:pPr>
        <w:adjustRightInd/>
        <w:snapToGrid/>
        <w:spacing w:before="0" w:beforeLines="0" w:after="0" w:afterLines="0"/>
        <w:ind w:firstLine="0"/>
        <w:rPr>
          <w:rFonts w:asciiTheme="minorHAnsi" w:hAnsiTheme="minorHAnsi" w:cstheme="minorBidi"/>
          <w:b/>
          <w:bCs/>
          <w:sz w:val="28"/>
          <w:szCs w:val="24"/>
        </w:rPr>
      </w:pPr>
      <w:r>
        <w:rPr>
          <w:rFonts w:hint="eastAsia" w:asciiTheme="minorHAnsi" w:hAnsiTheme="minorHAnsi" w:cstheme="minorBidi"/>
          <w:b/>
          <w:bCs/>
          <w:sz w:val="28"/>
          <w:szCs w:val="24"/>
        </w:rPr>
        <w:t>保密条款</w:t>
      </w:r>
    </w:p>
    <w:p>
      <w:pPr>
        <w:wordWrap/>
        <w:spacing w:line="360" w:lineRule="auto"/>
        <w:jc w:val="both"/>
      </w:pPr>
      <w:r>
        <w:rPr>
          <w:rFonts w:hint="eastAsia" w:asciiTheme="minorHAnsi" w:hAnsiTheme="minorHAnsi" w:cstheme="minorBidi"/>
          <w:iCs/>
          <w:sz w:val="28"/>
          <w:szCs w:val="24"/>
        </w:rPr>
        <w:t>文档仅限产品（项目）组内流转，违者负相应法律责任。</w:t>
      </w:r>
    </w:p>
    <w:p/>
    <w:p>
      <w:pPr>
        <w:ind w:firstLine="0"/>
        <w:jc w:val="both"/>
        <w:sectPr>
          <w:footerReference r:id="rId9" w:type="first"/>
          <w:headerReference r:id="rId7" w:type="default"/>
          <w:footerReference r:id="rId8" w:type="default"/>
          <w:pgSz w:w="11906" w:h="16838"/>
          <w:pgMar w:top="1440" w:right="1803" w:bottom="1440" w:left="1803" w:header="454" w:footer="992" w:gutter="0"/>
          <w:cols w:space="0" w:num="1"/>
          <w:titlePg/>
          <w:docGrid w:type="lines" w:linePitch="312" w:charSpace="0"/>
        </w:sectPr>
      </w:pPr>
    </w:p>
    <w:sdt>
      <w:sdtPr>
        <w:id w:val="147453504"/>
        <w15:color w:val="DBDBDB"/>
        <w:docPartObj>
          <w:docPartGallery w:val="Table of Contents"/>
          <w:docPartUnique/>
        </w:docPartObj>
      </w:sdtPr>
      <w:sdtEndPr>
        <w:rPr>
          <w:rFonts w:ascii="宋体" w:hAnsi="宋体"/>
          <w:b/>
        </w:rPr>
      </w:sdtEndPr>
      <w:sdtContent>
        <w:p>
          <w:pPr>
            <w:spacing w:line="360" w:lineRule="auto"/>
            <w:jc w:val="center"/>
          </w:pPr>
          <w:r>
            <w:t>目录</w:t>
          </w:r>
        </w:p>
        <w:p>
          <w:pPr>
            <w:pStyle w:val="10"/>
            <w:tabs>
              <w:tab w:val="right" w:leader="dot" w:pos="8300"/>
            </w:tabs>
          </w:pPr>
          <w:r>
            <w:fldChar w:fldCharType="begin"/>
          </w:r>
          <w:r>
            <w:instrText xml:space="preserve">TOC \o "1-2" \h \u </w:instrText>
          </w:r>
          <w:r>
            <w:fldChar w:fldCharType="separate"/>
          </w:r>
          <w:r>
            <w:fldChar w:fldCharType="begin"/>
          </w:r>
          <w:r>
            <w:instrText xml:space="preserve"> HYPERLINK \l _Toc5224 </w:instrText>
          </w:r>
          <w:r>
            <w:fldChar w:fldCharType="separate"/>
          </w:r>
          <w:r>
            <w:rPr>
              <w:rFonts w:hint="eastAsia" w:ascii="宋体" w:hAnsi="宋体" w:eastAsia="宋体" w:cs="宋体"/>
            </w:rPr>
            <w:t xml:space="preserve">第一章 </w:t>
          </w:r>
          <w:r>
            <w:rPr>
              <w:rFonts w:hint="eastAsia"/>
            </w:rPr>
            <w:t>引言</w:t>
          </w:r>
          <w:r>
            <w:tab/>
          </w:r>
          <w:r>
            <w:fldChar w:fldCharType="begin"/>
          </w:r>
          <w:r>
            <w:instrText xml:space="preserve"> PAGEREF _Toc5224 \h </w:instrText>
          </w:r>
          <w:r>
            <w:fldChar w:fldCharType="separate"/>
          </w:r>
          <w:r>
            <w:t>1</w:t>
          </w:r>
          <w:r>
            <w:fldChar w:fldCharType="end"/>
          </w:r>
          <w:r>
            <w:fldChar w:fldCharType="end"/>
          </w:r>
        </w:p>
        <w:p>
          <w:pPr>
            <w:pStyle w:val="11"/>
            <w:tabs>
              <w:tab w:val="right" w:leader="dot" w:pos="8300"/>
            </w:tabs>
          </w:pPr>
          <w:r>
            <w:fldChar w:fldCharType="begin"/>
          </w:r>
          <w:r>
            <w:instrText xml:space="preserve"> HYPERLINK \l _Toc8497 </w:instrText>
          </w:r>
          <w:r>
            <w:fldChar w:fldCharType="separate"/>
          </w:r>
          <w:r>
            <w:rPr>
              <w:rFonts w:hint="eastAsia" w:ascii="宋体" w:hAnsi="宋体" w:eastAsia="宋体" w:cs="宋体"/>
            </w:rPr>
            <w:t xml:space="preserve">1.1. </w:t>
          </w:r>
          <w:r>
            <w:rPr>
              <w:rFonts w:hint="eastAsia"/>
            </w:rPr>
            <w:t>编写目的</w:t>
          </w:r>
          <w:r>
            <w:tab/>
          </w:r>
          <w:r>
            <w:fldChar w:fldCharType="begin"/>
          </w:r>
          <w:r>
            <w:instrText xml:space="preserve"> PAGEREF _Toc8497 \h </w:instrText>
          </w:r>
          <w:r>
            <w:fldChar w:fldCharType="separate"/>
          </w:r>
          <w:r>
            <w:t>1</w:t>
          </w:r>
          <w:r>
            <w:fldChar w:fldCharType="end"/>
          </w:r>
          <w:r>
            <w:fldChar w:fldCharType="end"/>
          </w:r>
        </w:p>
        <w:p>
          <w:pPr>
            <w:pStyle w:val="11"/>
            <w:tabs>
              <w:tab w:val="right" w:leader="dot" w:pos="8300"/>
            </w:tabs>
          </w:pPr>
          <w:r>
            <w:fldChar w:fldCharType="begin"/>
          </w:r>
          <w:r>
            <w:instrText xml:space="preserve"> HYPERLINK \l _Toc6987 </w:instrText>
          </w:r>
          <w:r>
            <w:fldChar w:fldCharType="separate"/>
          </w:r>
          <w:r>
            <w:rPr>
              <w:rFonts w:hint="eastAsia" w:ascii="宋体" w:hAnsi="宋体" w:eastAsia="宋体" w:cs="宋体"/>
            </w:rPr>
            <w:t xml:space="preserve">1.2. </w:t>
          </w:r>
          <w:r>
            <w:rPr>
              <w:rFonts w:hint="eastAsia"/>
            </w:rPr>
            <w:t>适用范围</w:t>
          </w:r>
          <w:r>
            <w:tab/>
          </w:r>
          <w:r>
            <w:fldChar w:fldCharType="begin"/>
          </w:r>
          <w:r>
            <w:instrText xml:space="preserve"> PAGEREF _Toc6987 \h </w:instrText>
          </w:r>
          <w:r>
            <w:fldChar w:fldCharType="separate"/>
          </w:r>
          <w:r>
            <w:t>1</w:t>
          </w:r>
          <w:r>
            <w:fldChar w:fldCharType="end"/>
          </w:r>
          <w:r>
            <w:fldChar w:fldCharType="end"/>
          </w:r>
        </w:p>
        <w:p>
          <w:pPr>
            <w:pStyle w:val="11"/>
            <w:tabs>
              <w:tab w:val="right" w:leader="dot" w:pos="8300"/>
            </w:tabs>
          </w:pPr>
          <w:r>
            <w:fldChar w:fldCharType="begin"/>
          </w:r>
          <w:r>
            <w:instrText xml:space="preserve"> HYPERLINK \l _Toc2443 </w:instrText>
          </w:r>
          <w:r>
            <w:fldChar w:fldCharType="separate"/>
          </w:r>
          <w:r>
            <w:rPr>
              <w:rFonts w:hint="eastAsia" w:ascii="宋体" w:hAnsi="宋体" w:eastAsia="宋体" w:cs="宋体"/>
            </w:rPr>
            <w:t xml:space="preserve">1.3. </w:t>
          </w:r>
          <w:r>
            <w:rPr>
              <w:rFonts w:hint="eastAsia"/>
            </w:rPr>
            <w:t>术语定义</w:t>
          </w:r>
          <w:r>
            <w:tab/>
          </w:r>
          <w:r>
            <w:fldChar w:fldCharType="begin"/>
          </w:r>
          <w:r>
            <w:instrText xml:space="preserve"> PAGEREF _Toc2443 \h </w:instrText>
          </w:r>
          <w:r>
            <w:fldChar w:fldCharType="separate"/>
          </w:r>
          <w:r>
            <w:t>1</w:t>
          </w:r>
          <w:r>
            <w:fldChar w:fldCharType="end"/>
          </w:r>
          <w:r>
            <w:fldChar w:fldCharType="end"/>
          </w:r>
        </w:p>
        <w:p>
          <w:pPr>
            <w:pStyle w:val="11"/>
            <w:tabs>
              <w:tab w:val="right" w:leader="dot" w:pos="8300"/>
            </w:tabs>
          </w:pPr>
          <w:r>
            <w:fldChar w:fldCharType="begin"/>
          </w:r>
          <w:r>
            <w:instrText xml:space="preserve"> HYPERLINK \l _Toc12119 </w:instrText>
          </w:r>
          <w:r>
            <w:fldChar w:fldCharType="separate"/>
          </w:r>
          <w:r>
            <w:rPr>
              <w:rFonts w:hint="eastAsia" w:ascii="宋体" w:hAnsi="宋体" w:eastAsia="宋体" w:cs="宋体"/>
            </w:rPr>
            <w:t xml:space="preserve">1.4. </w:t>
          </w:r>
          <w:r>
            <w:rPr>
              <w:rFonts w:hint="eastAsia"/>
            </w:rPr>
            <w:t>输入资料</w:t>
          </w:r>
          <w:r>
            <w:tab/>
          </w:r>
          <w:r>
            <w:fldChar w:fldCharType="begin"/>
          </w:r>
          <w:r>
            <w:instrText xml:space="preserve"> PAGEREF _Toc12119 \h </w:instrText>
          </w:r>
          <w:r>
            <w:fldChar w:fldCharType="separate"/>
          </w:r>
          <w:r>
            <w:t>2</w:t>
          </w:r>
          <w:r>
            <w:fldChar w:fldCharType="end"/>
          </w:r>
          <w:r>
            <w:fldChar w:fldCharType="end"/>
          </w:r>
        </w:p>
        <w:p>
          <w:pPr>
            <w:pStyle w:val="10"/>
            <w:tabs>
              <w:tab w:val="right" w:leader="dot" w:pos="8300"/>
            </w:tabs>
          </w:pPr>
          <w:r>
            <w:fldChar w:fldCharType="begin"/>
          </w:r>
          <w:r>
            <w:instrText xml:space="preserve"> HYPERLINK \l _Toc6589 </w:instrText>
          </w:r>
          <w:r>
            <w:fldChar w:fldCharType="separate"/>
          </w:r>
          <w:r>
            <w:rPr>
              <w:rFonts w:hint="eastAsia" w:ascii="宋体" w:hAnsi="宋体" w:eastAsia="宋体" w:cs="宋体"/>
              <w:szCs w:val="44"/>
            </w:rPr>
            <w:t xml:space="preserve">第二章 </w:t>
          </w:r>
          <w:r>
            <w:rPr>
              <w:rFonts w:hint="eastAsia"/>
            </w:rPr>
            <w:t>设计目标</w:t>
          </w:r>
          <w:r>
            <w:tab/>
          </w:r>
          <w:r>
            <w:fldChar w:fldCharType="begin"/>
          </w:r>
          <w:r>
            <w:instrText xml:space="preserve"> PAGEREF _Toc6589 \h </w:instrText>
          </w:r>
          <w:r>
            <w:fldChar w:fldCharType="separate"/>
          </w:r>
          <w:r>
            <w:t>3</w:t>
          </w:r>
          <w:r>
            <w:fldChar w:fldCharType="end"/>
          </w:r>
          <w:r>
            <w:fldChar w:fldCharType="end"/>
          </w:r>
        </w:p>
        <w:p>
          <w:pPr>
            <w:pStyle w:val="10"/>
            <w:tabs>
              <w:tab w:val="right" w:leader="dot" w:pos="8300"/>
            </w:tabs>
          </w:pPr>
          <w:r>
            <w:fldChar w:fldCharType="begin"/>
          </w:r>
          <w:r>
            <w:instrText xml:space="preserve"> HYPERLINK \l _Toc32477 </w:instrText>
          </w:r>
          <w:r>
            <w:fldChar w:fldCharType="separate"/>
          </w:r>
          <w:r>
            <w:rPr>
              <w:rFonts w:hint="eastAsia" w:ascii="宋体" w:hAnsi="宋体" w:eastAsia="宋体" w:cs="宋体"/>
            </w:rPr>
            <w:t xml:space="preserve">第三章 </w:t>
          </w:r>
          <w:r>
            <w:rPr>
              <w:rFonts w:hint="eastAsia"/>
            </w:rPr>
            <w:t>需求分析</w:t>
          </w:r>
          <w:r>
            <w:tab/>
          </w:r>
          <w:r>
            <w:fldChar w:fldCharType="begin"/>
          </w:r>
          <w:r>
            <w:instrText xml:space="preserve"> PAGEREF _Toc32477 \h </w:instrText>
          </w:r>
          <w:r>
            <w:fldChar w:fldCharType="separate"/>
          </w:r>
          <w:r>
            <w:t>5</w:t>
          </w:r>
          <w:r>
            <w:fldChar w:fldCharType="end"/>
          </w:r>
          <w:r>
            <w:fldChar w:fldCharType="end"/>
          </w:r>
        </w:p>
        <w:p>
          <w:pPr>
            <w:pStyle w:val="11"/>
            <w:tabs>
              <w:tab w:val="right" w:leader="dot" w:pos="8300"/>
            </w:tabs>
          </w:pPr>
          <w:r>
            <w:fldChar w:fldCharType="begin"/>
          </w:r>
          <w:r>
            <w:instrText xml:space="preserve"> HYPERLINK \l _Toc31606 </w:instrText>
          </w:r>
          <w:r>
            <w:fldChar w:fldCharType="separate"/>
          </w:r>
          <w:r>
            <w:rPr>
              <w:rFonts w:hint="eastAsia" w:ascii="宋体" w:hAnsi="宋体" w:eastAsia="宋体" w:cs="宋体"/>
            </w:rPr>
            <w:t xml:space="preserve">3.1. </w:t>
          </w:r>
          <w:r>
            <w:rPr>
              <w:rFonts w:hint="eastAsia"/>
            </w:rPr>
            <w:t>主要目标需求分析</w:t>
          </w:r>
          <w:r>
            <w:tab/>
          </w:r>
          <w:r>
            <w:fldChar w:fldCharType="begin"/>
          </w:r>
          <w:r>
            <w:instrText xml:space="preserve"> PAGEREF _Toc31606 \h </w:instrText>
          </w:r>
          <w:r>
            <w:fldChar w:fldCharType="separate"/>
          </w:r>
          <w:r>
            <w:t>5</w:t>
          </w:r>
          <w:r>
            <w:fldChar w:fldCharType="end"/>
          </w:r>
          <w:r>
            <w:fldChar w:fldCharType="end"/>
          </w:r>
        </w:p>
        <w:p>
          <w:pPr>
            <w:pStyle w:val="11"/>
            <w:tabs>
              <w:tab w:val="right" w:leader="dot" w:pos="8300"/>
            </w:tabs>
          </w:pPr>
          <w:r>
            <w:fldChar w:fldCharType="begin"/>
          </w:r>
          <w:r>
            <w:instrText xml:space="preserve"> HYPERLINK \l _Toc30441 </w:instrText>
          </w:r>
          <w:r>
            <w:fldChar w:fldCharType="separate"/>
          </w:r>
          <w:r>
            <w:rPr>
              <w:rFonts w:hint="eastAsia" w:ascii="宋体" w:hAnsi="宋体" w:eastAsia="宋体" w:cs="宋体"/>
            </w:rPr>
            <w:t xml:space="preserve">3.2. </w:t>
          </w:r>
          <w:r>
            <w:rPr>
              <w:rFonts w:hint="eastAsia"/>
            </w:rPr>
            <w:t>适配C-arm要求分析</w:t>
          </w:r>
          <w:r>
            <w:tab/>
          </w:r>
          <w:r>
            <w:fldChar w:fldCharType="begin"/>
          </w:r>
          <w:r>
            <w:instrText xml:space="preserve"> PAGEREF _Toc30441 \h </w:instrText>
          </w:r>
          <w:r>
            <w:fldChar w:fldCharType="separate"/>
          </w:r>
          <w:r>
            <w:t>6</w:t>
          </w:r>
          <w:r>
            <w:fldChar w:fldCharType="end"/>
          </w:r>
          <w:r>
            <w:fldChar w:fldCharType="end"/>
          </w:r>
        </w:p>
        <w:p>
          <w:pPr>
            <w:pStyle w:val="11"/>
            <w:tabs>
              <w:tab w:val="right" w:leader="dot" w:pos="8300"/>
            </w:tabs>
          </w:pPr>
          <w:r>
            <w:fldChar w:fldCharType="begin"/>
          </w:r>
          <w:r>
            <w:instrText xml:space="preserve"> HYPERLINK \l _Toc4426 </w:instrText>
          </w:r>
          <w:r>
            <w:fldChar w:fldCharType="separate"/>
          </w:r>
          <w:r>
            <w:rPr>
              <w:rFonts w:hint="eastAsia" w:ascii="宋体" w:hAnsi="宋体" w:eastAsia="宋体" w:cs="宋体"/>
            </w:rPr>
            <w:t xml:space="preserve">3.3. </w:t>
          </w:r>
          <w:r>
            <w:rPr>
              <w:rFonts w:hint="eastAsia"/>
            </w:rPr>
            <w:t>配准模式要求</w:t>
          </w:r>
          <w:r>
            <w:tab/>
          </w:r>
          <w:r>
            <w:fldChar w:fldCharType="begin"/>
          </w:r>
          <w:r>
            <w:instrText xml:space="preserve"> PAGEREF _Toc4426 \h </w:instrText>
          </w:r>
          <w:r>
            <w:fldChar w:fldCharType="separate"/>
          </w:r>
          <w:r>
            <w:t>6</w:t>
          </w:r>
          <w:r>
            <w:fldChar w:fldCharType="end"/>
          </w:r>
          <w:r>
            <w:fldChar w:fldCharType="end"/>
          </w:r>
        </w:p>
        <w:p>
          <w:pPr>
            <w:pStyle w:val="11"/>
            <w:tabs>
              <w:tab w:val="right" w:leader="dot" w:pos="8300"/>
            </w:tabs>
          </w:pPr>
          <w:r>
            <w:fldChar w:fldCharType="begin"/>
          </w:r>
          <w:r>
            <w:instrText xml:space="preserve"> HYPERLINK \l _Toc15021 </w:instrText>
          </w:r>
          <w:r>
            <w:fldChar w:fldCharType="separate"/>
          </w:r>
          <w:r>
            <w:rPr>
              <w:rFonts w:hint="eastAsia" w:ascii="宋体" w:hAnsi="宋体" w:eastAsia="宋体" w:cs="宋体"/>
            </w:rPr>
            <w:t xml:space="preserve">3.4. </w:t>
          </w:r>
          <w:r>
            <w:rPr>
              <w:rFonts w:hint="eastAsia"/>
            </w:rPr>
            <w:t>系统精度要求</w:t>
          </w:r>
          <w:r>
            <w:tab/>
          </w:r>
          <w:r>
            <w:fldChar w:fldCharType="begin"/>
          </w:r>
          <w:r>
            <w:instrText xml:space="preserve"> PAGEREF _Toc15021 \h </w:instrText>
          </w:r>
          <w:r>
            <w:fldChar w:fldCharType="separate"/>
          </w:r>
          <w:r>
            <w:t>6</w:t>
          </w:r>
          <w:r>
            <w:fldChar w:fldCharType="end"/>
          </w:r>
          <w:r>
            <w:fldChar w:fldCharType="end"/>
          </w:r>
        </w:p>
        <w:p>
          <w:pPr>
            <w:pStyle w:val="11"/>
            <w:tabs>
              <w:tab w:val="right" w:leader="dot" w:pos="8300"/>
            </w:tabs>
          </w:pPr>
          <w:r>
            <w:fldChar w:fldCharType="begin"/>
          </w:r>
          <w:r>
            <w:instrText xml:space="preserve"> HYPERLINK \l _Toc14555 </w:instrText>
          </w:r>
          <w:r>
            <w:fldChar w:fldCharType="separate"/>
          </w:r>
          <w:r>
            <w:rPr>
              <w:rFonts w:hint="eastAsia" w:ascii="宋体" w:hAnsi="宋体" w:eastAsia="宋体" w:cs="宋体"/>
            </w:rPr>
            <w:t xml:space="preserve">3.5. </w:t>
          </w:r>
          <w:r>
            <w:rPr>
              <w:rFonts w:hint="eastAsia"/>
            </w:rPr>
            <w:t>其他需求分析</w:t>
          </w:r>
          <w:r>
            <w:tab/>
          </w:r>
          <w:r>
            <w:fldChar w:fldCharType="begin"/>
          </w:r>
          <w:r>
            <w:instrText xml:space="preserve"> PAGEREF _Toc14555 \h </w:instrText>
          </w:r>
          <w:r>
            <w:fldChar w:fldCharType="separate"/>
          </w:r>
          <w:r>
            <w:t>7</w:t>
          </w:r>
          <w:r>
            <w:fldChar w:fldCharType="end"/>
          </w:r>
          <w:r>
            <w:fldChar w:fldCharType="end"/>
          </w:r>
        </w:p>
        <w:p>
          <w:pPr>
            <w:pStyle w:val="10"/>
            <w:tabs>
              <w:tab w:val="right" w:leader="dot" w:pos="8300"/>
            </w:tabs>
          </w:pPr>
          <w:r>
            <w:fldChar w:fldCharType="begin"/>
          </w:r>
          <w:r>
            <w:instrText xml:space="preserve"> HYPERLINK \l _Toc25468 </w:instrText>
          </w:r>
          <w:r>
            <w:fldChar w:fldCharType="separate"/>
          </w:r>
          <w:r>
            <w:rPr>
              <w:rFonts w:hint="eastAsia" w:ascii="宋体" w:hAnsi="宋体" w:eastAsia="宋体" w:cs="宋体"/>
            </w:rPr>
            <w:t xml:space="preserve">第四章 </w:t>
          </w:r>
          <w:r>
            <w:rPr>
              <w:rFonts w:hint="eastAsia"/>
            </w:rPr>
            <w:t>整机方案设计</w:t>
          </w:r>
          <w:r>
            <w:tab/>
          </w:r>
          <w:r>
            <w:fldChar w:fldCharType="begin"/>
          </w:r>
          <w:r>
            <w:instrText xml:space="preserve"> PAGEREF _Toc25468 \h </w:instrText>
          </w:r>
          <w:r>
            <w:fldChar w:fldCharType="separate"/>
          </w:r>
          <w:r>
            <w:t>8</w:t>
          </w:r>
          <w:r>
            <w:fldChar w:fldCharType="end"/>
          </w:r>
          <w:r>
            <w:fldChar w:fldCharType="end"/>
          </w:r>
        </w:p>
        <w:p>
          <w:pPr>
            <w:pStyle w:val="11"/>
            <w:tabs>
              <w:tab w:val="right" w:leader="dot" w:pos="8300"/>
            </w:tabs>
          </w:pPr>
          <w:r>
            <w:fldChar w:fldCharType="begin"/>
          </w:r>
          <w:r>
            <w:instrText xml:space="preserve"> HYPERLINK \l _Toc30603 </w:instrText>
          </w:r>
          <w:r>
            <w:fldChar w:fldCharType="separate"/>
          </w:r>
          <w:r>
            <w:rPr>
              <w:rFonts w:hint="eastAsia" w:ascii="宋体" w:hAnsi="宋体" w:eastAsia="宋体" w:cs="宋体"/>
            </w:rPr>
            <w:t xml:space="preserve">4.1. </w:t>
          </w:r>
          <w:r>
            <w:rPr>
              <w:rFonts w:hint="eastAsia"/>
            </w:rPr>
            <w:t>方案概述</w:t>
          </w:r>
          <w:r>
            <w:tab/>
          </w:r>
          <w:r>
            <w:fldChar w:fldCharType="begin"/>
          </w:r>
          <w:r>
            <w:instrText xml:space="preserve"> PAGEREF _Toc30603 \h </w:instrText>
          </w:r>
          <w:r>
            <w:fldChar w:fldCharType="separate"/>
          </w:r>
          <w:r>
            <w:t>8</w:t>
          </w:r>
          <w:r>
            <w:fldChar w:fldCharType="end"/>
          </w:r>
          <w:r>
            <w:fldChar w:fldCharType="end"/>
          </w:r>
        </w:p>
        <w:p>
          <w:pPr>
            <w:pStyle w:val="11"/>
            <w:tabs>
              <w:tab w:val="right" w:leader="dot" w:pos="8300"/>
            </w:tabs>
          </w:pPr>
          <w:r>
            <w:fldChar w:fldCharType="begin"/>
          </w:r>
          <w:r>
            <w:instrText xml:space="preserve"> HYPERLINK \l _Toc13626 </w:instrText>
          </w:r>
          <w:r>
            <w:fldChar w:fldCharType="separate"/>
          </w:r>
          <w:r>
            <w:rPr>
              <w:rFonts w:hint="eastAsia" w:ascii="宋体" w:hAnsi="宋体" w:eastAsia="宋体" w:cs="宋体"/>
            </w:rPr>
            <w:t xml:space="preserve">4.2. </w:t>
          </w:r>
          <w:r>
            <w:rPr>
              <w:rFonts w:hint="eastAsia"/>
            </w:rPr>
            <w:t>坐标统一原理</w:t>
          </w:r>
          <w:r>
            <w:tab/>
          </w:r>
          <w:r>
            <w:fldChar w:fldCharType="begin"/>
          </w:r>
          <w:r>
            <w:instrText xml:space="preserve"> PAGEREF _Toc13626 \h </w:instrText>
          </w:r>
          <w:r>
            <w:fldChar w:fldCharType="separate"/>
          </w:r>
          <w:r>
            <w:t>9</w:t>
          </w:r>
          <w:r>
            <w:fldChar w:fldCharType="end"/>
          </w:r>
          <w:r>
            <w:fldChar w:fldCharType="end"/>
          </w:r>
        </w:p>
        <w:p>
          <w:pPr>
            <w:pStyle w:val="11"/>
            <w:tabs>
              <w:tab w:val="right" w:leader="dot" w:pos="8300"/>
            </w:tabs>
          </w:pPr>
          <w:r>
            <w:fldChar w:fldCharType="begin"/>
          </w:r>
          <w:r>
            <w:instrText xml:space="preserve"> HYPERLINK \l _Toc11658 </w:instrText>
          </w:r>
          <w:r>
            <w:fldChar w:fldCharType="separate"/>
          </w:r>
          <w:r>
            <w:rPr>
              <w:rFonts w:hint="eastAsia" w:ascii="宋体" w:hAnsi="宋体" w:eastAsia="宋体" w:cs="宋体"/>
            </w:rPr>
            <w:t xml:space="preserve">4.3. </w:t>
          </w:r>
          <w:r>
            <w:rPr>
              <w:rFonts w:hint="eastAsia"/>
            </w:rPr>
            <w:t>工作流程</w:t>
          </w:r>
          <w:r>
            <w:tab/>
          </w:r>
          <w:r>
            <w:fldChar w:fldCharType="begin"/>
          </w:r>
          <w:r>
            <w:instrText xml:space="preserve"> PAGEREF _Toc11658 \h </w:instrText>
          </w:r>
          <w:r>
            <w:fldChar w:fldCharType="separate"/>
          </w:r>
          <w:r>
            <w:t>11</w:t>
          </w:r>
          <w:r>
            <w:fldChar w:fldCharType="end"/>
          </w:r>
          <w:r>
            <w:fldChar w:fldCharType="end"/>
          </w:r>
        </w:p>
        <w:p>
          <w:pPr>
            <w:pStyle w:val="11"/>
            <w:tabs>
              <w:tab w:val="right" w:leader="dot" w:pos="8300"/>
            </w:tabs>
          </w:pPr>
          <w:r>
            <w:fldChar w:fldCharType="begin"/>
          </w:r>
          <w:r>
            <w:instrText xml:space="preserve"> HYPERLINK \l _Toc5038 </w:instrText>
          </w:r>
          <w:r>
            <w:fldChar w:fldCharType="separate"/>
          </w:r>
          <w:r>
            <w:rPr>
              <w:rFonts w:hint="eastAsia" w:ascii="宋体" w:hAnsi="宋体" w:eastAsia="宋体" w:cs="宋体"/>
            </w:rPr>
            <w:t xml:space="preserve">4.4. </w:t>
          </w:r>
          <w:r>
            <w:rPr>
              <w:rFonts w:hint="eastAsia"/>
            </w:rPr>
            <w:t>软件安全级别</w:t>
          </w:r>
          <w:r>
            <w:tab/>
          </w:r>
          <w:r>
            <w:fldChar w:fldCharType="begin"/>
          </w:r>
          <w:r>
            <w:instrText xml:space="preserve"> PAGEREF _Toc5038 \h </w:instrText>
          </w:r>
          <w:r>
            <w:fldChar w:fldCharType="separate"/>
          </w:r>
          <w:r>
            <w:t>14</w:t>
          </w:r>
          <w:r>
            <w:fldChar w:fldCharType="end"/>
          </w:r>
          <w:r>
            <w:fldChar w:fldCharType="end"/>
          </w:r>
        </w:p>
        <w:p>
          <w:pPr>
            <w:pStyle w:val="10"/>
            <w:tabs>
              <w:tab w:val="right" w:leader="dot" w:pos="8300"/>
            </w:tabs>
          </w:pPr>
          <w:r>
            <w:fldChar w:fldCharType="begin"/>
          </w:r>
          <w:r>
            <w:instrText xml:space="preserve"> HYPERLINK \l _Toc2681 </w:instrText>
          </w:r>
          <w:r>
            <w:fldChar w:fldCharType="separate"/>
          </w:r>
          <w:r>
            <w:rPr>
              <w:rFonts w:hint="eastAsia" w:ascii="宋体" w:hAnsi="宋体" w:eastAsia="宋体" w:cs="宋体"/>
            </w:rPr>
            <w:t xml:space="preserve">第五章 </w:t>
          </w:r>
          <w:r>
            <w:rPr>
              <w:rFonts w:hint="eastAsia"/>
            </w:rPr>
            <w:t>组件设计方案</w:t>
          </w:r>
          <w:r>
            <w:tab/>
          </w:r>
          <w:r>
            <w:fldChar w:fldCharType="begin"/>
          </w:r>
          <w:r>
            <w:instrText xml:space="preserve"> PAGEREF _Toc2681 \h </w:instrText>
          </w:r>
          <w:r>
            <w:fldChar w:fldCharType="separate"/>
          </w:r>
          <w:r>
            <w:t>15</w:t>
          </w:r>
          <w:r>
            <w:fldChar w:fldCharType="end"/>
          </w:r>
          <w:r>
            <w:fldChar w:fldCharType="end"/>
          </w:r>
        </w:p>
        <w:p>
          <w:pPr>
            <w:pStyle w:val="11"/>
            <w:tabs>
              <w:tab w:val="right" w:leader="dot" w:pos="8300"/>
            </w:tabs>
          </w:pPr>
          <w:r>
            <w:fldChar w:fldCharType="begin"/>
          </w:r>
          <w:r>
            <w:instrText xml:space="preserve"> HYPERLINK \l _Toc10018 </w:instrText>
          </w:r>
          <w:r>
            <w:fldChar w:fldCharType="separate"/>
          </w:r>
          <w:r>
            <w:rPr>
              <w:rFonts w:hint="eastAsia" w:ascii="宋体" w:hAnsi="宋体" w:eastAsia="宋体" w:cs="宋体"/>
            </w:rPr>
            <w:t xml:space="preserve">5.1. </w:t>
          </w:r>
          <w:r>
            <w:rPr>
              <w:rFonts w:hint="eastAsia"/>
            </w:rPr>
            <w:t>导航台车设计</w:t>
          </w:r>
          <w:r>
            <w:tab/>
          </w:r>
          <w:r>
            <w:fldChar w:fldCharType="begin"/>
          </w:r>
          <w:r>
            <w:instrText xml:space="preserve"> PAGEREF _Toc10018 \h </w:instrText>
          </w:r>
          <w:r>
            <w:fldChar w:fldCharType="separate"/>
          </w:r>
          <w:r>
            <w:t>15</w:t>
          </w:r>
          <w:r>
            <w:fldChar w:fldCharType="end"/>
          </w:r>
          <w:r>
            <w:fldChar w:fldCharType="end"/>
          </w:r>
        </w:p>
        <w:p>
          <w:pPr>
            <w:pStyle w:val="11"/>
            <w:tabs>
              <w:tab w:val="right" w:leader="dot" w:pos="8300"/>
            </w:tabs>
          </w:pPr>
          <w:r>
            <w:fldChar w:fldCharType="begin"/>
          </w:r>
          <w:r>
            <w:instrText xml:space="preserve"> HYPERLINK \l _Toc6138 </w:instrText>
          </w:r>
          <w:r>
            <w:fldChar w:fldCharType="separate"/>
          </w:r>
          <w:r>
            <w:rPr>
              <w:rFonts w:hint="eastAsia" w:ascii="宋体" w:hAnsi="宋体" w:eastAsia="宋体" w:cs="宋体"/>
            </w:rPr>
            <w:t xml:space="preserve">5.2. </w:t>
          </w:r>
          <w:r>
            <w:rPr>
              <w:rFonts w:hint="eastAsia"/>
            </w:rPr>
            <w:t>执行台车设计</w:t>
          </w:r>
          <w:r>
            <w:tab/>
          </w:r>
          <w:r>
            <w:fldChar w:fldCharType="begin"/>
          </w:r>
          <w:r>
            <w:instrText xml:space="preserve"> PAGEREF _Toc6138 \h </w:instrText>
          </w:r>
          <w:r>
            <w:fldChar w:fldCharType="separate"/>
          </w:r>
          <w:r>
            <w:t>16</w:t>
          </w:r>
          <w:r>
            <w:fldChar w:fldCharType="end"/>
          </w:r>
          <w:r>
            <w:fldChar w:fldCharType="end"/>
          </w:r>
        </w:p>
        <w:p>
          <w:pPr>
            <w:pStyle w:val="11"/>
            <w:tabs>
              <w:tab w:val="right" w:leader="dot" w:pos="8300"/>
            </w:tabs>
          </w:pPr>
          <w:r>
            <w:fldChar w:fldCharType="begin"/>
          </w:r>
          <w:r>
            <w:instrText xml:space="preserve"> HYPERLINK \l _Toc21291 </w:instrText>
          </w:r>
          <w:r>
            <w:fldChar w:fldCharType="separate"/>
          </w:r>
          <w:r>
            <w:rPr>
              <w:rFonts w:hint="eastAsia" w:ascii="宋体" w:hAnsi="宋体" w:eastAsia="宋体" w:cs="宋体"/>
            </w:rPr>
            <w:t xml:space="preserve">5.3. </w:t>
          </w:r>
          <w:r>
            <w:rPr>
              <w:rFonts w:hint="eastAsia"/>
            </w:rPr>
            <w:t>操作台车设计</w:t>
          </w:r>
          <w:r>
            <w:tab/>
          </w:r>
          <w:r>
            <w:fldChar w:fldCharType="begin"/>
          </w:r>
          <w:r>
            <w:instrText xml:space="preserve"> PAGEREF _Toc21291 \h </w:instrText>
          </w:r>
          <w:r>
            <w:fldChar w:fldCharType="separate"/>
          </w:r>
          <w:r>
            <w:t>18</w:t>
          </w:r>
          <w:r>
            <w:fldChar w:fldCharType="end"/>
          </w:r>
          <w:r>
            <w:fldChar w:fldCharType="end"/>
          </w:r>
        </w:p>
        <w:p>
          <w:pPr>
            <w:pStyle w:val="11"/>
            <w:tabs>
              <w:tab w:val="right" w:leader="dot" w:pos="8300"/>
            </w:tabs>
          </w:pPr>
          <w:r>
            <w:fldChar w:fldCharType="begin"/>
          </w:r>
          <w:r>
            <w:instrText xml:space="preserve"> HYPERLINK \l _Toc4576 </w:instrText>
          </w:r>
          <w:r>
            <w:fldChar w:fldCharType="separate"/>
          </w:r>
          <w:r>
            <w:rPr>
              <w:rFonts w:hint="eastAsia" w:ascii="宋体" w:hAnsi="宋体" w:eastAsia="宋体" w:cs="宋体"/>
            </w:rPr>
            <w:t xml:space="preserve">5.4. </w:t>
          </w:r>
          <w:r>
            <w:rPr>
              <w:rFonts w:hint="eastAsia"/>
            </w:rPr>
            <w:t>定位附件设计</w:t>
          </w:r>
          <w:r>
            <w:tab/>
          </w:r>
          <w:r>
            <w:fldChar w:fldCharType="begin"/>
          </w:r>
          <w:r>
            <w:instrText xml:space="preserve"> PAGEREF _Toc4576 \h </w:instrText>
          </w:r>
          <w:r>
            <w:fldChar w:fldCharType="separate"/>
          </w:r>
          <w:r>
            <w:t>18</w:t>
          </w:r>
          <w:r>
            <w:fldChar w:fldCharType="end"/>
          </w:r>
          <w:r>
            <w:fldChar w:fldCharType="end"/>
          </w:r>
        </w:p>
        <w:p>
          <w:pPr>
            <w:pStyle w:val="10"/>
            <w:tabs>
              <w:tab w:val="right" w:leader="dot" w:pos="8300"/>
            </w:tabs>
          </w:pPr>
          <w:r>
            <w:fldChar w:fldCharType="begin"/>
          </w:r>
          <w:r>
            <w:instrText xml:space="preserve"> HYPERLINK \l _Toc30869 </w:instrText>
          </w:r>
          <w:r>
            <w:fldChar w:fldCharType="separate"/>
          </w:r>
          <w:r>
            <w:rPr>
              <w:rFonts w:hint="eastAsia" w:ascii="宋体" w:hAnsi="宋体" w:eastAsia="宋体" w:cs="宋体"/>
            </w:rPr>
            <w:t xml:space="preserve">第六章 </w:t>
          </w:r>
          <w:r>
            <w:rPr>
              <w:rFonts w:hint="eastAsia"/>
            </w:rPr>
            <w:t>法规与标准</w:t>
          </w:r>
          <w:r>
            <w:tab/>
          </w:r>
          <w:r>
            <w:fldChar w:fldCharType="begin"/>
          </w:r>
          <w:r>
            <w:instrText xml:space="preserve"> PAGEREF _Toc30869 \h </w:instrText>
          </w:r>
          <w:r>
            <w:fldChar w:fldCharType="separate"/>
          </w:r>
          <w:r>
            <w:t>20</w:t>
          </w:r>
          <w:r>
            <w:fldChar w:fldCharType="end"/>
          </w:r>
          <w:r>
            <w:fldChar w:fldCharType="end"/>
          </w:r>
        </w:p>
        <w:p>
          <w:pPr>
            <w:pStyle w:val="11"/>
            <w:tabs>
              <w:tab w:val="right" w:leader="dot" w:pos="8300"/>
            </w:tabs>
          </w:pPr>
          <w:r>
            <w:fldChar w:fldCharType="begin"/>
          </w:r>
          <w:r>
            <w:instrText xml:space="preserve"> HYPERLINK \l _Toc16618 </w:instrText>
          </w:r>
          <w:r>
            <w:fldChar w:fldCharType="separate"/>
          </w:r>
          <w:r>
            <w:rPr>
              <w:rFonts w:hint="eastAsia" w:ascii="宋体" w:hAnsi="宋体" w:eastAsia="宋体" w:cs="宋体"/>
            </w:rPr>
            <w:t xml:space="preserve">6.1. </w:t>
          </w:r>
          <w:r>
            <w:t>法规</w:t>
          </w:r>
          <w:r>
            <w:tab/>
          </w:r>
          <w:r>
            <w:fldChar w:fldCharType="begin"/>
          </w:r>
          <w:r>
            <w:instrText xml:space="preserve"> PAGEREF _Toc16618 \h </w:instrText>
          </w:r>
          <w:r>
            <w:fldChar w:fldCharType="separate"/>
          </w:r>
          <w:r>
            <w:t>20</w:t>
          </w:r>
          <w:r>
            <w:fldChar w:fldCharType="end"/>
          </w:r>
          <w:r>
            <w:fldChar w:fldCharType="end"/>
          </w:r>
        </w:p>
        <w:p>
          <w:pPr>
            <w:pStyle w:val="11"/>
            <w:tabs>
              <w:tab w:val="right" w:leader="dot" w:pos="8300"/>
            </w:tabs>
          </w:pPr>
          <w:r>
            <w:fldChar w:fldCharType="begin"/>
          </w:r>
          <w:r>
            <w:instrText xml:space="preserve"> HYPERLINK \l _Toc963 </w:instrText>
          </w:r>
          <w:r>
            <w:fldChar w:fldCharType="separate"/>
          </w:r>
          <w:r>
            <w:rPr>
              <w:rFonts w:hint="eastAsia" w:ascii="宋体" w:hAnsi="宋体" w:eastAsia="宋体" w:cs="宋体"/>
            </w:rPr>
            <w:t xml:space="preserve">6.2. </w:t>
          </w:r>
          <w:r>
            <w:t>标准</w:t>
          </w:r>
          <w:r>
            <w:tab/>
          </w:r>
          <w:r>
            <w:fldChar w:fldCharType="begin"/>
          </w:r>
          <w:r>
            <w:instrText xml:space="preserve"> PAGEREF _Toc963 \h </w:instrText>
          </w:r>
          <w:r>
            <w:fldChar w:fldCharType="separate"/>
          </w:r>
          <w:r>
            <w:t>20</w:t>
          </w:r>
          <w:r>
            <w:fldChar w:fldCharType="end"/>
          </w:r>
          <w:r>
            <w:fldChar w:fldCharType="end"/>
          </w:r>
        </w:p>
        <w:p>
          <w:pPr>
            <w:pStyle w:val="11"/>
            <w:tabs>
              <w:tab w:val="right" w:leader="dot" w:pos="8300"/>
            </w:tabs>
          </w:pPr>
          <w:r>
            <w:fldChar w:fldCharType="begin"/>
          </w:r>
          <w:r>
            <w:instrText xml:space="preserve"> HYPERLINK \l _Toc29726 </w:instrText>
          </w:r>
          <w:r>
            <w:fldChar w:fldCharType="separate"/>
          </w:r>
          <w:r>
            <w:rPr>
              <w:rFonts w:hint="eastAsia" w:ascii="宋体" w:hAnsi="宋体" w:eastAsia="宋体" w:cs="宋体"/>
            </w:rPr>
            <w:t xml:space="preserve">6.3. </w:t>
          </w:r>
          <w:r>
            <w:rPr>
              <w:rFonts w:hint="eastAsia"/>
            </w:rPr>
            <w:t>参考资料</w:t>
          </w:r>
          <w:r>
            <w:tab/>
          </w:r>
          <w:r>
            <w:fldChar w:fldCharType="begin"/>
          </w:r>
          <w:r>
            <w:instrText xml:space="preserve"> PAGEREF _Toc29726 \h </w:instrText>
          </w:r>
          <w:r>
            <w:fldChar w:fldCharType="separate"/>
          </w:r>
          <w:r>
            <w:t>21</w:t>
          </w:r>
          <w:r>
            <w:fldChar w:fldCharType="end"/>
          </w:r>
          <w:r>
            <w:fldChar w:fldCharType="end"/>
          </w:r>
        </w:p>
        <w:p>
          <w:r>
            <w:fldChar w:fldCharType="end"/>
          </w:r>
        </w:p>
      </w:sdtContent>
    </w:sdt>
    <w:p>
      <w:pPr>
        <w:pStyle w:val="3"/>
        <w:spacing w:before="62" w:after="62"/>
        <w:sectPr>
          <w:footerReference r:id="rId10" w:type="default"/>
          <w:pgSz w:w="11906" w:h="16838"/>
          <w:pgMar w:top="1440" w:right="1803" w:bottom="1440" w:left="1803" w:header="454" w:footer="992" w:gutter="0"/>
          <w:cols w:space="0" w:num="1"/>
          <w:docGrid w:type="lines" w:linePitch="312" w:charSpace="0"/>
        </w:sectPr>
      </w:pPr>
    </w:p>
    <w:p>
      <w:pPr>
        <w:pStyle w:val="3"/>
        <w:spacing w:before="62" w:after="62"/>
      </w:pPr>
      <w:bookmarkStart w:id="0" w:name="_Toc5224"/>
      <w:r>
        <w:rPr>
          <w:rFonts w:hint="eastAsia"/>
        </w:rPr>
        <w:t>引言</w:t>
      </w:r>
      <w:bookmarkEnd w:id="0"/>
    </w:p>
    <w:p>
      <w:pPr>
        <w:pStyle w:val="4"/>
        <w:spacing w:before="62" w:after="62"/>
        <w:ind w:left="567"/>
      </w:pPr>
      <w:bookmarkStart w:id="1" w:name="_Toc4258"/>
      <w:bookmarkStart w:id="2" w:name="_Toc9231"/>
      <w:bookmarkStart w:id="3" w:name="_Toc8497"/>
      <w:r>
        <w:rPr>
          <w:rFonts w:hint="eastAsia"/>
        </w:rPr>
        <w:t>编写目的</w:t>
      </w:r>
      <w:bookmarkEnd w:id="1"/>
      <w:bookmarkEnd w:id="2"/>
      <w:bookmarkEnd w:id="3"/>
    </w:p>
    <w:p>
      <w:pPr>
        <w:spacing w:before="62" w:beforeLines="20" w:after="62" w:afterLines="20"/>
        <w:ind w:firstLine="420"/>
      </w:pPr>
      <w:r>
        <w:rPr>
          <w:rFonts w:hint="eastAsia"/>
        </w:rPr>
        <w:t>本文档是MS-002的系统方案设计说明书，用于描述产品的系统设计方案。</w:t>
      </w:r>
    </w:p>
    <w:p>
      <w:pPr>
        <w:pStyle w:val="4"/>
        <w:spacing w:before="62" w:after="62"/>
        <w:ind w:left="567"/>
      </w:pPr>
      <w:bookmarkStart w:id="4" w:name="_Toc6987"/>
      <w:bookmarkStart w:id="5" w:name="_Toc1029"/>
      <w:bookmarkStart w:id="6" w:name="_Toc18424"/>
      <w:r>
        <w:rPr>
          <w:rFonts w:hint="eastAsia"/>
        </w:rPr>
        <w:t>适用范围</w:t>
      </w:r>
      <w:bookmarkEnd w:id="4"/>
      <w:bookmarkEnd w:id="5"/>
      <w:bookmarkEnd w:id="6"/>
    </w:p>
    <w:p>
      <w:pPr>
        <w:spacing w:before="62" w:beforeLines="20" w:after="62" w:afterLines="20"/>
        <w:ind w:firstLine="420"/>
      </w:pPr>
      <w:r>
        <w:rPr>
          <w:rFonts w:hint="eastAsia"/>
        </w:rPr>
        <w:t>适用于公司拟开发的MS-002系统，用于产品风险分析，产品结构、电子、软件设计等环节的输入性文档。</w:t>
      </w:r>
    </w:p>
    <w:p>
      <w:pPr>
        <w:pStyle w:val="4"/>
        <w:spacing w:before="62" w:after="62"/>
        <w:ind w:left="567"/>
      </w:pPr>
      <w:bookmarkStart w:id="7" w:name="_Toc3248"/>
      <w:bookmarkStart w:id="8" w:name="_Toc2443"/>
      <w:bookmarkStart w:id="9" w:name="_Toc10450"/>
      <w:r>
        <w:rPr>
          <w:rFonts w:hint="eastAsia"/>
        </w:rPr>
        <w:t>术语定义</w:t>
      </w:r>
      <w:bookmarkEnd w:id="7"/>
      <w:bookmarkEnd w:id="8"/>
      <w:bookmarkEnd w:id="9"/>
    </w:p>
    <w:tbl>
      <w:tblPr>
        <w:tblStyle w:val="12"/>
        <w:tblW w:w="830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2"/>
        <w:gridCol w:w="66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8" w:hRule="atLeast"/>
          <w:jc w:val="center"/>
        </w:trPr>
        <w:tc>
          <w:tcPr>
            <w:tcW w:w="1672" w:type="dxa"/>
            <w:vAlign w:val="center"/>
          </w:tcPr>
          <w:p>
            <w:pPr>
              <w:pStyle w:val="16"/>
              <w:spacing w:line="360" w:lineRule="auto"/>
              <w:ind w:left="0" w:right="0"/>
              <w:jc w:val="left"/>
            </w:pPr>
            <w:r>
              <w:t>专有名词</w:t>
            </w:r>
          </w:p>
        </w:tc>
        <w:tc>
          <w:tcPr>
            <w:tcW w:w="6631" w:type="dxa"/>
            <w:vAlign w:val="center"/>
          </w:tcPr>
          <w:p>
            <w:pPr>
              <w:pStyle w:val="16"/>
              <w:spacing w:line="360" w:lineRule="auto"/>
              <w:jc w:val="left"/>
            </w:pPr>
            <w: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冠状位</w:t>
            </w:r>
          </w:p>
        </w:tc>
        <w:tc>
          <w:tcPr>
            <w:tcW w:w="6631" w:type="dxa"/>
            <w:vAlign w:val="center"/>
          </w:tcPr>
          <w:p>
            <w:r>
              <w:t>为左,右方向将人体纵切为前后（腹背）两部分的断面</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矢状位</w:t>
            </w:r>
          </w:p>
        </w:tc>
        <w:tc>
          <w:tcPr>
            <w:tcW w:w="6631" w:type="dxa"/>
            <w:vAlign w:val="center"/>
          </w:tcPr>
          <w:p>
            <w:r>
              <w:t>将躯体纵断为左右两部分的解剖平面</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横断位</w:t>
            </w:r>
          </w:p>
        </w:tc>
        <w:tc>
          <w:tcPr>
            <w:tcW w:w="6631" w:type="dxa"/>
            <w:vAlign w:val="center"/>
          </w:tcPr>
          <w:p>
            <w:r>
              <w:t>将躯体纵断为上下两部分的解剖平面</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锥形投影</w:t>
            </w:r>
          </w:p>
        </w:tc>
        <w:tc>
          <w:tcPr>
            <w:tcW w:w="6631" w:type="dxa"/>
            <w:vAlign w:val="center"/>
          </w:tcPr>
          <w:p>
            <w:r>
              <w:t>以点光源发射的锥形光束生成的投影图像，类似小孔成像原理。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平行投影</w:t>
            </w:r>
          </w:p>
        </w:tc>
        <w:tc>
          <w:tcPr>
            <w:tcW w:w="6631" w:type="dxa"/>
            <w:vAlign w:val="center"/>
          </w:tcPr>
          <w:p>
            <w:r>
              <w:t>以平行光穿透组织产生的投影图像。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DICOM</w:t>
            </w:r>
          </w:p>
        </w:tc>
        <w:tc>
          <w:tcPr>
            <w:tcW w:w="6631" w:type="dxa"/>
            <w:vAlign w:val="center"/>
          </w:tcPr>
          <w:p>
            <w:r>
              <w:t>一种医疗图像格式</w:t>
            </w:r>
            <w:r>
              <w:rPr>
                <w:rFonts w:hint="eastAsia"/>
              </w:rPr>
              <w:t>，包含患者信息，图片信息，成像设备信息等</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DRR</w:t>
            </w:r>
          </w:p>
        </w:tc>
        <w:tc>
          <w:tcPr>
            <w:tcW w:w="6631" w:type="dxa"/>
            <w:vAlign w:val="center"/>
          </w:tcPr>
          <w:p>
            <w:r>
              <w:rPr>
                <w:rFonts w:hint="eastAsia"/>
              </w:rPr>
              <w:t>数字重建放射影像，</w:t>
            </w:r>
            <w:r>
              <w:t>利用锥形</w:t>
            </w:r>
            <w:r>
              <w:rPr>
                <w:rFonts w:hint="eastAsia"/>
              </w:rPr>
              <w:t>光束对</w:t>
            </w:r>
            <w:r>
              <w:t>CT影像</w:t>
            </w:r>
            <w:r>
              <w:rPr>
                <w:rFonts w:hint="eastAsia"/>
              </w:rPr>
              <w:t>进行</w:t>
            </w:r>
            <w:r>
              <w:t>投影</w:t>
            </w:r>
            <w:r>
              <w:rPr>
                <w:rFonts w:hint="eastAsia"/>
              </w:rPr>
              <w:t>得到二维</w:t>
            </w:r>
            <w:r>
              <w:t>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rPr>
                <w:rFonts w:hint="eastAsia"/>
              </w:rPr>
              <w:t>影像重建</w:t>
            </w:r>
          </w:p>
        </w:tc>
        <w:tc>
          <w:tcPr>
            <w:tcW w:w="6631" w:type="dxa"/>
            <w:vAlign w:val="center"/>
          </w:tcPr>
          <w:p>
            <w:r>
              <w:rPr>
                <w:rFonts w:hint="eastAsia"/>
              </w:rPr>
              <w:t>将术前CT的断层数据重建成三维体数据，并进行三维渲染显示。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rPr>
                <w:rFonts w:hint="eastAsia"/>
              </w:rPr>
              <w:t>数据处理</w:t>
            </w:r>
          </w:p>
        </w:tc>
        <w:tc>
          <w:tcPr>
            <w:tcW w:w="6631" w:type="dxa"/>
            <w:vAlign w:val="center"/>
          </w:tcPr>
          <w:p>
            <w:r>
              <w:rPr>
                <w:rFonts w:hint="eastAsia"/>
              </w:rPr>
              <w:t>对三维CT数据进行分割、配准、复位、切分等操作。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手术规划</w:t>
            </w:r>
          </w:p>
        </w:tc>
        <w:tc>
          <w:tcPr>
            <w:tcW w:w="6631" w:type="dxa"/>
            <w:vAlign w:val="center"/>
          </w:tcPr>
          <w:p>
            <w:r>
              <w:rPr>
                <w:rFonts w:hint="eastAsia"/>
              </w:rPr>
              <w:t>包含术前规划和术中规划</w:t>
            </w:r>
            <w:r>
              <w:t>。</w:t>
            </w:r>
            <w:r>
              <w:rPr>
                <w:rFonts w:hint="eastAsia"/>
              </w:rPr>
              <w:t>术前规划为CT数据的骨骼分割、复位、螺钉的规划，钢板规划等。术中规划是在术中图像中（CT/X光）进行螺钉的规划。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术中配准</w:t>
            </w:r>
          </w:p>
        </w:tc>
        <w:tc>
          <w:tcPr>
            <w:tcW w:w="6631" w:type="dxa"/>
            <w:vAlign w:val="center"/>
          </w:tcPr>
          <w:p>
            <w:r>
              <w:t>匹配术前CT仿真透视图像（如DRR）与术中透视图，获取当前病灶（路径）的真实位姿。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rPr>
                <w:rFonts w:hint="eastAsia"/>
              </w:rPr>
              <w:t>匹配程度</w:t>
            </w:r>
          </w:p>
        </w:tc>
        <w:tc>
          <w:tcPr>
            <w:tcW w:w="6631" w:type="dxa"/>
            <w:vAlign w:val="center"/>
          </w:tcPr>
          <w:p>
            <w:r>
              <w:rPr>
                <w:rFonts w:hint="eastAsia"/>
              </w:rPr>
              <w:t>用于表征配准结果的一种指标，匹配程度高表示配准结果好。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jc w:val="both"/>
            </w:pPr>
            <w:r>
              <w:t>C臂</w:t>
            </w:r>
            <w:r>
              <w:rPr>
                <w:rFonts w:hint="eastAsia"/>
              </w:rPr>
              <w:t>机</w:t>
            </w:r>
          </w:p>
        </w:tc>
        <w:tc>
          <w:tcPr>
            <w:tcW w:w="6631" w:type="dxa"/>
            <w:vAlign w:val="center"/>
          </w:tcPr>
          <w:p>
            <w:r>
              <w:rPr>
                <w:rFonts w:hint="eastAsia"/>
              </w:rPr>
              <w:t>C形臂X光机。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C臂</w:t>
            </w:r>
            <w:r>
              <w:rPr>
                <w:rFonts w:hint="eastAsia"/>
              </w:rPr>
              <w:t>机</w:t>
            </w:r>
            <w:r>
              <w:t>校准</w:t>
            </w:r>
          </w:p>
        </w:tc>
        <w:tc>
          <w:tcPr>
            <w:tcW w:w="6631" w:type="dxa"/>
            <w:vAlign w:val="center"/>
          </w:tcPr>
          <w:p>
            <w:r>
              <w:t>通过术前大量采集透视图像（已知布局的棋盘格）来计算C臂</w:t>
            </w:r>
            <w:r>
              <w:rPr>
                <w:rFonts w:hint="eastAsia"/>
              </w:rPr>
              <w:t>机</w:t>
            </w:r>
            <w:r>
              <w:t>内参及畸变参数，用于C臂</w:t>
            </w:r>
            <w:r>
              <w:rPr>
                <w:rFonts w:hint="eastAsia"/>
              </w:rPr>
              <w:t>机</w:t>
            </w:r>
            <w:r>
              <w:t>图像的校正及透视变换。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jc w:val="both"/>
            </w:pPr>
            <w:r>
              <w:rPr>
                <w:rFonts w:hint="eastAsia"/>
              </w:rPr>
              <w:t>X光注册</w:t>
            </w:r>
          </w:p>
        </w:tc>
        <w:tc>
          <w:tcPr>
            <w:tcW w:w="6631" w:type="dxa"/>
            <w:vAlign w:val="center"/>
          </w:tcPr>
          <w:p>
            <w:r>
              <w:rPr>
                <w:rFonts w:hint="eastAsia"/>
              </w:rPr>
              <w:t>对含有配准板的X透视图像</w:t>
            </w:r>
            <w:r>
              <w:t>，</w:t>
            </w:r>
            <w:r>
              <w:rPr>
                <w:rFonts w:hint="eastAsia"/>
              </w:rPr>
              <w:t>识别图像中钢珠球的二维坐标，并与钢珠球三维坐标进行配准，</w:t>
            </w:r>
            <w:r>
              <w:t>计算出</w:t>
            </w:r>
            <w:r>
              <w:rPr>
                <w:rFonts w:hint="eastAsia"/>
              </w:rPr>
              <w:t>配准</w:t>
            </w:r>
            <w:r>
              <w:t>板与Ｃ臂机间的</w:t>
            </w:r>
            <w:r>
              <w:rPr>
                <w:rFonts w:hint="eastAsia"/>
              </w:rPr>
              <w:t>空间</w:t>
            </w:r>
            <w:r>
              <w:t>变换关系。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仿真</w:t>
            </w:r>
          </w:p>
        </w:tc>
        <w:tc>
          <w:tcPr>
            <w:tcW w:w="6631" w:type="dxa"/>
            <w:vAlign w:val="center"/>
          </w:tcPr>
          <w:p>
            <w:r>
              <w:t>根据机械臂的初始位置和目标位置，模拟机械臂的运动过程、并显示。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spacing w:line="360" w:lineRule="auto"/>
              <w:jc w:val="both"/>
            </w:pPr>
            <w:r>
              <w:t>定位</w:t>
            </w:r>
          </w:p>
        </w:tc>
        <w:tc>
          <w:tcPr>
            <w:tcW w:w="6631" w:type="dxa"/>
            <w:vAlign w:val="center"/>
          </w:tcPr>
          <w:p>
            <w:r>
              <w:t>根据3D目标位置，</w:t>
            </w:r>
            <w:r>
              <w:rPr>
                <w:rFonts w:hint="eastAsia"/>
              </w:rPr>
              <w:t>下发</w:t>
            </w:r>
            <w:r>
              <w:t>机械臂运动定位。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jc w:val="both"/>
            </w:pPr>
            <w:r>
              <w:rPr>
                <w:rFonts w:hint="eastAsia"/>
              </w:rPr>
              <w:t>双目相机</w:t>
            </w:r>
          </w:p>
        </w:tc>
        <w:tc>
          <w:tcPr>
            <w:tcW w:w="6631" w:type="dxa"/>
            <w:vAlign w:val="center"/>
          </w:tcPr>
          <w:p>
            <w:r>
              <w:rPr>
                <w:rFonts w:hint="eastAsia"/>
              </w:rPr>
              <w:t>双目红外光学相机。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672" w:type="dxa"/>
            <w:vAlign w:val="center"/>
          </w:tcPr>
          <w:p>
            <w:pPr>
              <w:jc w:val="both"/>
            </w:pPr>
            <w:r>
              <w:rPr>
                <w:rFonts w:hint="eastAsia"/>
              </w:rPr>
              <w:t>机械臂</w:t>
            </w:r>
          </w:p>
        </w:tc>
        <w:tc>
          <w:tcPr>
            <w:tcW w:w="6631" w:type="dxa"/>
            <w:vAlign w:val="center"/>
          </w:tcPr>
          <w:p>
            <w:r>
              <w:rPr>
                <w:rFonts w:hint="eastAsia"/>
              </w:rPr>
              <w:t>包含机械臂本体、控制箱和末端控制器。</w:t>
            </w:r>
          </w:p>
        </w:tc>
      </w:tr>
    </w:tbl>
    <w:p/>
    <w:p>
      <w:pPr>
        <w:pStyle w:val="4"/>
        <w:spacing w:before="62" w:after="62"/>
        <w:ind w:left="567"/>
      </w:pPr>
      <w:bookmarkStart w:id="10" w:name="_Toc31227"/>
      <w:bookmarkStart w:id="11" w:name="_Toc12119"/>
      <w:r>
        <w:rPr>
          <w:rFonts w:hint="eastAsia"/>
        </w:rPr>
        <w:t>输入资料</w:t>
      </w:r>
      <w:bookmarkEnd w:id="10"/>
      <w:bookmarkEnd w:id="11"/>
    </w:p>
    <w:p>
      <w:pPr>
        <w:spacing w:before="62" w:beforeLines="20" w:after="62" w:afterLines="20"/>
        <w:ind w:firstLine="420"/>
      </w:pPr>
      <w:r>
        <w:rPr>
          <w:rFonts w:hint="eastAsia"/>
        </w:rPr>
        <w:t>《产品开发提议》</w:t>
      </w:r>
    </w:p>
    <w:p>
      <w:pPr>
        <w:spacing w:before="62" w:beforeLines="20" w:after="62" w:afterLines="20"/>
        <w:ind w:firstLine="420"/>
      </w:pPr>
      <w:r>
        <w:rPr>
          <w:rFonts w:hint="eastAsia"/>
        </w:rPr>
        <w:t>《产品概念说明书》</w:t>
      </w:r>
    </w:p>
    <w:p>
      <w:pPr>
        <w:spacing w:before="62" w:beforeLines="20" w:after="62" w:afterLines="20"/>
        <w:ind w:firstLine="420"/>
      </w:pPr>
      <w:r>
        <w:rPr>
          <w:rFonts w:hint="eastAsia"/>
        </w:rPr>
        <w:t>《技术可行性分析报告》</w:t>
      </w:r>
    </w:p>
    <w:p>
      <w:pPr>
        <w:spacing w:before="62" w:beforeLines="20" w:after="62" w:afterLines="20"/>
        <w:ind w:firstLine="420"/>
      </w:pPr>
      <w:r>
        <w:rPr>
          <w:rFonts w:hint="eastAsia"/>
        </w:rPr>
        <w:t>《市场可行性分析报告》</w:t>
      </w:r>
    </w:p>
    <w:p>
      <w:pPr>
        <w:spacing w:before="62" w:beforeLines="20" w:after="62" w:afterLines="20"/>
        <w:ind w:firstLine="420"/>
      </w:pPr>
      <w:r>
        <w:rPr>
          <w:rFonts w:hint="eastAsia"/>
        </w:rPr>
        <w:t>《用户需求》</w:t>
      </w:r>
    </w:p>
    <w:p>
      <w:pPr>
        <w:pStyle w:val="3"/>
        <w:spacing w:before="62" w:after="62" w:line="360" w:lineRule="auto"/>
        <w:rPr>
          <w:sz w:val="44"/>
          <w:szCs w:val="44"/>
        </w:rPr>
      </w:pPr>
      <w:r>
        <w:rPr>
          <w:rFonts w:hint="eastAsia"/>
        </w:rPr>
        <w:br w:type="page"/>
      </w:r>
      <w:bookmarkStart w:id="12" w:name="_Toc6589"/>
      <w:bookmarkStart w:id="13" w:name="_Toc22881"/>
      <w:r>
        <w:rPr>
          <w:rFonts w:hint="eastAsia"/>
        </w:rPr>
        <w:t>设计目标</w:t>
      </w:r>
      <w:bookmarkEnd w:id="12"/>
      <w:bookmarkEnd w:id="13"/>
    </w:p>
    <w:tbl>
      <w:tblPr>
        <w:tblStyle w:val="12"/>
        <w:tblpPr w:leftFromText="180" w:rightFromText="180" w:vertAnchor="text" w:horzAnchor="page" w:tblpX="1348" w:tblpY="237"/>
        <w:tblOverlap w:val="never"/>
        <w:tblW w:w="92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22"/>
        <w:gridCol w:w="1949"/>
        <w:gridCol w:w="3291"/>
        <w:gridCol w:w="3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spacing w:line="360" w:lineRule="auto"/>
              <w:ind w:left="0" w:leftChars="0" w:firstLine="0" w:firstLineChars="0"/>
              <w:jc w:val="center"/>
            </w:pPr>
            <w:bookmarkStart w:id="14" w:name="_Toc9172777"/>
            <w:bookmarkStart w:id="15" w:name="_Toc510240306"/>
            <w:bookmarkStart w:id="16" w:name="_Toc510347212"/>
            <w:r>
              <w:t>编号</w:t>
            </w:r>
          </w:p>
        </w:tc>
        <w:tc>
          <w:tcPr>
            <w:tcW w:w="1949" w:type="dxa"/>
            <w:vAlign w:val="center"/>
          </w:tcPr>
          <w:p>
            <w:pPr>
              <w:spacing w:line="360" w:lineRule="auto"/>
              <w:ind w:left="0"/>
              <w:jc w:val="center"/>
            </w:pPr>
            <w:r>
              <w:t>指标项目</w:t>
            </w:r>
          </w:p>
        </w:tc>
        <w:tc>
          <w:tcPr>
            <w:tcW w:w="3291" w:type="dxa"/>
            <w:vAlign w:val="center"/>
          </w:tcPr>
          <w:p>
            <w:pPr>
              <w:spacing w:line="360" w:lineRule="auto"/>
              <w:jc w:val="both"/>
            </w:pPr>
            <w:r>
              <w:t>理想目标</w:t>
            </w:r>
          </w:p>
        </w:tc>
        <w:tc>
          <w:tcPr>
            <w:tcW w:w="3379" w:type="dxa"/>
            <w:vAlign w:val="center"/>
          </w:tcPr>
          <w:p>
            <w:pPr>
              <w:spacing w:line="360" w:lineRule="auto"/>
              <w:jc w:val="both"/>
            </w:pPr>
            <w:r>
              <w:t>最低目标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lang w:bidi="ar"/>
              </w:rPr>
              <w:t>1</w:t>
            </w:r>
          </w:p>
        </w:tc>
        <w:tc>
          <w:tcPr>
            <w:tcW w:w="1949" w:type="dxa"/>
            <w:vAlign w:val="center"/>
          </w:tcPr>
          <w:p>
            <w:pPr>
              <w:widowControl w:val="0"/>
              <w:ind w:left="0" w:leftChars="0" w:firstLine="0" w:firstLineChars="0"/>
              <w:jc w:val="center"/>
              <w:textAlignment w:val="auto"/>
              <w:rPr>
                <w:sz w:val="24"/>
                <w:szCs w:val="24"/>
              </w:rPr>
            </w:pPr>
            <w:r>
              <w:rPr>
                <w:lang w:bidi="ar"/>
              </w:rPr>
              <w:t>主要功能</w:t>
            </w:r>
          </w:p>
        </w:tc>
        <w:tc>
          <w:tcPr>
            <w:tcW w:w="3291" w:type="dxa"/>
            <w:vAlign w:val="center"/>
          </w:tcPr>
          <w:p>
            <w:pPr>
              <w:widowControl w:val="0"/>
              <w:jc w:val="both"/>
              <w:textAlignment w:val="auto"/>
              <w:rPr>
                <w:lang w:bidi="ar"/>
              </w:rPr>
            </w:pPr>
            <w:r>
              <w:rPr>
                <w:lang w:bidi="ar"/>
              </w:rPr>
              <w:t>手术规划、</w:t>
            </w:r>
            <w:r>
              <w:rPr>
                <w:rFonts w:hint="eastAsia"/>
                <w:lang w:bidi="ar"/>
              </w:rPr>
              <w:t>通道</w:t>
            </w:r>
            <w:r>
              <w:rPr>
                <w:lang w:bidi="ar"/>
              </w:rPr>
              <w:t>定位、</w:t>
            </w:r>
            <w:r>
              <w:rPr>
                <w:rFonts w:hint="eastAsia"/>
                <w:lang w:bidi="ar"/>
              </w:rPr>
              <w:t>工具导航、</w:t>
            </w:r>
          </w:p>
          <w:p>
            <w:pPr>
              <w:widowControl w:val="0"/>
              <w:jc w:val="both"/>
              <w:textAlignment w:val="auto"/>
              <w:rPr>
                <w:sz w:val="24"/>
                <w:szCs w:val="24"/>
              </w:rPr>
            </w:pPr>
            <w:r>
              <w:rPr>
                <w:rFonts w:hint="eastAsia"/>
                <w:lang w:bidi="ar"/>
              </w:rPr>
              <w:t>体位监测和补偿、反馈验证</w:t>
            </w:r>
          </w:p>
        </w:tc>
        <w:tc>
          <w:tcPr>
            <w:tcW w:w="3379" w:type="dxa"/>
            <w:vAlign w:val="center"/>
          </w:tcPr>
          <w:p>
            <w:pPr>
              <w:widowControl w:val="0"/>
              <w:jc w:val="both"/>
              <w:textAlignment w:val="auto"/>
              <w:rPr>
                <w:lang w:bidi="ar"/>
              </w:rPr>
            </w:pPr>
            <w:r>
              <w:rPr>
                <w:lang w:bidi="ar"/>
              </w:rPr>
              <w:t>手术规划、</w:t>
            </w:r>
            <w:r>
              <w:rPr>
                <w:rFonts w:hint="eastAsia"/>
                <w:lang w:bidi="ar"/>
              </w:rPr>
              <w:t>通道</w:t>
            </w:r>
            <w:r>
              <w:rPr>
                <w:lang w:bidi="ar"/>
              </w:rPr>
              <w:t>定位、</w:t>
            </w:r>
            <w:r>
              <w:rPr>
                <w:rFonts w:hint="eastAsia"/>
                <w:lang w:bidi="ar"/>
              </w:rPr>
              <w:t>工具导航、</w:t>
            </w:r>
          </w:p>
          <w:p>
            <w:pPr>
              <w:widowControl w:val="0"/>
              <w:jc w:val="both"/>
              <w:textAlignment w:val="auto"/>
              <w:rPr>
                <w:sz w:val="24"/>
                <w:szCs w:val="24"/>
              </w:rPr>
            </w:pPr>
            <w:r>
              <w:rPr>
                <w:rFonts w:hint="eastAsia"/>
                <w:lang w:bidi="ar"/>
              </w:rPr>
              <w:t>体位监测和补偿、反馈验证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lang w:bidi="ar"/>
              </w:rPr>
              <w:t>2</w:t>
            </w:r>
          </w:p>
        </w:tc>
        <w:tc>
          <w:tcPr>
            <w:tcW w:w="1949" w:type="dxa"/>
            <w:vAlign w:val="center"/>
          </w:tcPr>
          <w:p>
            <w:pPr>
              <w:widowControl w:val="0"/>
              <w:ind w:left="0" w:leftChars="0" w:firstLine="0" w:firstLineChars="0"/>
              <w:jc w:val="center"/>
              <w:textAlignment w:val="auto"/>
              <w:rPr>
                <w:sz w:val="24"/>
                <w:szCs w:val="24"/>
              </w:rPr>
            </w:pPr>
            <w:r>
              <w:rPr>
                <w:lang w:bidi="ar"/>
              </w:rPr>
              <w:t>组份</w:t>
            </w:r>
          </w:p>
        </w:tc>
        <w:tc>
          <w:tcPr>
            <w:tcW w:w="3291" w:type="dxa"/>
            <w:vAlign w:val="center"/>
          </w:tcPr>
          <w:p>
            <w:pPr>
              <w:widowControl w:val="0"/>
              <w:jc w:val="both"/>
              <w:textAlignment w:val="auto"/>
              <w:rPr>
                <w:sz w:val="24"/>
                <w:szCs w:val="24"/>
              </w:rPr>
            </w:pPr>
            <w:r>
              <w:rPr>
                <w:rFonts w:hint="eastAsia"/>
                <w:lang w:bidi="ar"/>
              </w:rPr>
              <w:t>导航台车、执行台车、操作</w:t>
            </w:r>
            <w:r>
              <w:rPr>
                <w:lang w:bidi="ar"/>
              </w:rPr>
              <w:t>台车</w:t>
            </w:r>
            <w:r>
              <w:rPr>
                <w:rFonts w:hint="eastAsia"/>
                <w:lang w:bidi="ar"/>
              </w:rPr>
              <w:t>、</w:t>
            </w:r>
            <w:r>
              <w:rPr>
                <w:rFonts w:hint="eastAsia"/>
              </w:rPr>
              <w:t>定位附件</w:t>
            </w:r>
          </w:p>
        </w:tc>
        <w:tc>
          <w:tcPr>
            <w:tcW w:w="3379" w:type="dxa"/>
            <w:vAlign w:val="center"/>
          </w:tcPr>
          <w:p>
            <w:pPr>
              <w:widowControl w:val="0"/>
              <w:jc w:val="both"/>
              <w:textAlignment w:val="auto"/>
              <w:rPr>
                <w:sz w:val="24"/>
                <w:szCs w:val="24"/>
              </w:rPr>
            </w:pPr>
            <w:r>
              <w:rPr>
                <w:rFonts w:hint="eastAsia"/>
                <w:lang w:bidi="ar"/>
              </w:rPr>
              <w:t>导航台车、执行台车、操作</w:t>
            </w:r>
            <w:r>
              <w:rPr>
                <w:lang w:bidi="ar"/>
              </w:rPr>
              <w:t>台车</w:t>
            </w:r>
            <w:r>
              <w:rPr>
                <w:rFonts w:hint="eastAsia"/>
                <w:lang w:bidi="ar"/>
              </w:rPr>
              <w:t>、</w:t>
            </w:r>
            <w:r>
              <w:rPr>
                <w:rFonts w:hint="eastAsia"/>
              </w:rPr>
              <w:t>定位附件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lang w:bidi="ar"/>
              </w:rPr>
              <w:t>3</w:t>
            </w:r>
          </w:p>
        </w:tc>
        <w:tc>
          <w:tcPr>
            <w:tcW w:w="1949" w:type="dxa"/>
            <w:vAlign w:val="center"/>
          </w:tcPr>
          <w:p>
            <w:pPr>
              <w:widowControl w:val="0"/>
              <w:ind w:left="0" w:leftChars="0" w:firstLine="0" w:firstLineChars="0"/>
              <w:jc w:val="center"/>
              <w:textAlignment w:val="auto"/>
              <w:rPr>
                <w:sz w:val="24"/>
                <w:szCs w:val="24"/>
              </w:rPr>
            </w:pPr>
            <w:r>
              <w:rPr>
                <w:lang w:bidi="ar"/>
              </w:rPr>
              <w:t>适应症</w:t>
            </w:r>
          </w:p>
        </w:tc>
        <w:tc>
          <w:tcPr>
            <w:tcW w:w="3291" w:type="dxa"/>
            <w:vAlign w:val="center"/>
          </w:tcPr>
          <w:p>
            <w:pPr>
              <w:widowControl w:val="0"/>
              <w:jc w:val="both"/>
              <w:textAlignment w:val="auto"/>
              <w:rPr>
                <w:lang w:bidi="ar"/>
              </w:rPr>
            </w:pPr>
            <w:r>
              <w:rPr>
                <w:b/>
                <w:bCs/>
                <w:lang w:bidi="ar"/>
              </w:rPr>
              <w:t>脊柱类</w:t>
            </w:r>
            <w:r>
              <w:rPr>
                <w:lang w:bidi="ar"/>
              </w:rPr>
              <w:t>：</w:t>
            </w:r>
            <w:r>
              <w:rPr>
                <w:rFonts w:hint="eastAsia"/>
                <w:lang w:bidi="ar"/>
              </w:rPr>
              <w:t>椎弓根通道的定位</w:t>
            </w:r>
            <w:r>
              <w:rPr>
                <w:lang w:bidi="ar"/>
              </w:rPr>
              <w:t>。</w:t>
            </w:r>
          </w:p>
          <w:p>
            <w:pPr>
              <w:widowControl w:val="0"/>
              <w:jc w:val="both"/>
              <w:textAlignment w:val="auto"/>
              <w:rPr>
                <w:sz w:val="24"/>
                <w:szCs w:val="24"/>
              </w:rPr>
            </w:pPr>
            <w:r>
              <w:rPr>
                <w:b/>
                <w:bCs/>
                <w:lang w:bidi="ar"/>
              </w:rPr>
              <w:t>创伤类</w:t>
            </w:r>
            <w:r>
              <w:rPr>
                <w:lang w:bidi="ar"/>
              </w:rPr>
              <w:t>：骨盆</w:t>
            </w:r>
            <w:r>
              <w:rPr>
                <w:rFonts w:hint="eastAsia"/>
                <w:lang w:bidi="ar"/>
              </w:rPr>
              <w:t>、足踝、股骨颈、股骨、胫骨等螺钉通道的定位。</w:t>
            </w:r>
          </w:p>
        </w:tc>
        <w:tc>
          <w:tcPr>
            <w:tcW w:w="3379" w:type="dxa"/>
            <w:vAlign w:val="center"/>
          </w:tcPr>
          <w:p>
            <w:pPr>
              <w:widowControl w:val="0"/>
              <w:jc w:val="both"/>
              <w:textAlignment w:val="auto"/>
              <w:rPr>
                <w:sz w:val="24"/>
                <w:szCs w:val="24"/>
              </w:rPr>
            </w:pPr>
            <w:r>
              <w:rPr>
                <w:b/>
                <w:bCs/>
                <w:lang w:bidi="ar"/>
              </w:rPr>
              <w:t>创伤类</w:t>
            </w:r>
            <w:r>
              <w:rPr>
                <w:lang w:bidi="ar"/>
              </w:rPr>
              <w:t>：骨盆</w:t>
            </w:r>
            <w:r>
              <w:rPr>
                <w:rFonts w:hint="eastAsia"/>
                <w:lang w:bidi="ar"/>
              </w:rPr>
              <w:t>、足踝、股骨颈、股骨、胫骨等螺钉通道的定位</w:t>
            </w:r>
            <w:r>
              <w:rPr>
                <w:lang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lang w:bidi="ar"/>
              </w:rPr>
              <w:t>4</w:t>
            </w:r>
          </w:p>
        </w:tc>
        <w:tc>
          <w:tcPr>
            <w:tcW w:w="1949" w:type="dxa"/>
            <w:vAlign w:val="center"/>
          </w:tcPr>
          <w:p>
            <w:pPr>
              <w:widowControl w:val="0"/>
              <w:ind w:left="0" w:leftChars="0" w:firstLine="0" w:firstLineChars="0"/>
              <w:jc w:val="center"/>
              <w:textAlignment w:val="auto"/>
              <w:rPr>
                <w:sz w:val="24"/>
                <w:szCs w:val="24"/>
              </w:rPr>
            </w:pPr>
            <w:r>
              <w:rPr>
                <w:lang w:bidi="ar"/>
              </w:rPr>
              <w:t>适配C臂机</w:t>
            </w:r>
          </w:p>
        </w:tc>
        <w:tc>
          <w:tcPr>
            <w:tcW w:w="3291" w:type="dxa"/>
            <w:vAlign w:val="center"/>
          </w:tcPr>
          <w:p>
            <w:pPr>
              <w:widowControl w:val="0"/>
              <w:jc w:val="both"/>
              <w:textAlignment w:val="auto"/>
              <w:rPr>
                <w:sz w:val="24"/>
                <w:szCs w:val="24"/>
              </w:rPr>
            </w:pPr>
            <w:r>
              <w:rPr>
                <w:rFonts w:hint="eastAsia"/>
                <w:lang w:bidi="ar"/>
              </w:rPr>
              <w:t>符合DICOM协议的C臂机</w:t>
            </w:r>
          </w:p>
        </w:tc>
        <w:tc>
          <w:tcPr>
            <w:tcW w:w="3379" w:type="dxa"/>
            <w:vAlign w:val="center"/>
          </w:tcPr>
          <w:p>
            <w:pPr>
              <w:widowControl w:val="0"/>
              <w:jc w:val="both"/>
              <w:textAlignment w:val="auto"/>
              <w:rPr>
                <w:sz w:val="24"/>
                <w:szCs w:val="24"/>
              </w:rPr>
            </w:pPr>
            <w:r>
              <w:rPr>
                <w:rFonts w:hint="eastAsia"/>
                <w:lang w:bidi="ar"/>
              </w:rPr>
              <w:t>符合DICOM协议的C臂机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lang w:bidi="ar"/>
              </w:rPr>
              <w:t>5</w:t>
            </w:r>
          </w:p>
        </w:tc>
        <w:tc>
          <w:tcPr>
            <w:tcW w:w="1949" w:type="dxa"/>
            <w:vAlign w:val="center"/>
          </w:tcPr>
          <w:p>
            <w:pPr>
              <w:widowControl w:val="0"/>
              <w:ind w:left="0" w:leftChars="0" w:firstLine="0" w:firstLineChars="0"/>
              <w:jc w:val="center"/>
              <w:textAlignment w:val="auto"/>
              <w:rPr>
                <w:sz w:val="24"/>
                <w:szCs w:val="24"/>
              </w:rPr>
            </w:pPr>
            <w:r>
              <w:rPr>
                <w:lang w:bidi="ar"/>
              </w:rPr>
              <w:t>术中定位精度</w:t>
            </w:r>
          </w:p>
        </w:tc>
        <w:tc>
          <w:tcPr>
            <w:tcW w:w="3291" w:type="dxa"/>
            <w:vAlign w:val="center"/>
          </w:tcPr>
          <w:p>
            <w:pPr>
              <w:widowControl w:val="0"/>
              <w:jc w:val="both"/>
              <w:textAlignment w:val="auto"/>
              <w:rPr>
                <w:sz w:val="24"/>
                <w:szCs w:val="24"/>
              </w:rPr>
            </w:pPr>
            <w:r>
              <w:rPr>
                <w:rFonts w:hint="eastAsia"/>
                <w:lang w:bidi="ar"/>
              </w:rPr>
              <w:t>线性误差</w:t>
            </w:r>
            <w:r>
              <w:rPr>
                <w:lang w:bidi="ar"/>
              </w:rPr>
              <w:t>≤1.</w:t>
            </w:r>
            <w:r>
              <w:rPr>
                <w:rFonts w:hint="eastAsia"/>
                <w:lang w:bidi="ar"/>
              </w:rPr>
              <w:t>0</w:t>
            </w:r>
            <w:r>
              <w:rPr>
                <w:lang w:bidi="ar"/>
              </w:rPr>
              <w:t>mm</w:t>
            </w:r>
            <w:r>
              <w:rPr>
                <w:rFonts w:hint="eastAsia"/>
                <w:lang w:bidi="ar"/>
              </w:rPr>
              <w:t>，角度误差</w:t>
            </w:r>
            <w:r>
              <w:rPr>
                <w:lang w:bidi="ar"/>
              </w:rPr>
              <w:t>≤</w:t>
            </w:r>
            <w:r>
              <w:rPr>
                <w:rFonts w:hint="eastAsia"/>
                <w:lang w:bidi="ar"/>
              </w:rPr>
              <w:t>1</w:t>
            </w:r>
            <w:r>
              <w:rPr>
                <w:lang w:bidi="ar"/>
              </w:rPr>
              <w:t>°</w:t>
            </w:r>
          </w:p>
        </w:tc>
        <w:tc>
          <w:tcPr>
            <w:tcW w:w="3379" w:type="dxa"/>
            <w:vAlign w:val="center"/>
          </w:tcPr>
          <w:p>
            <w:pPr>
              <w:widowControl w:val="0"/>
              <w:jc w:val="both"/>
              <w:textAlignment w:val="auto"/>
              <w:rPr>
                <w:sz w:val="24"/>
                <w:szCs w:val="24"/>
              </w:rPr>
            </w:pPr>
            <w:r>
              <w:rPr>
                <w:rFonts w:hint="eastAsia"/>
                <w:lang w:bidi="ar"/>
              </w:rPr>
              <w:t>线性误差</w:t>
            </w:r>
            <w:r>
              <w:rPr>
                <w:lang w:bidi="ar"/>
              </w:rPr>
              <w:t>≤</w:t>
            </w:r>
            <w:r>
              <w:rPr>
                <w:rFonts w:hint="eastAsia"/>
                <w:lang w:bidi="ar"/>
              </w:rPr>
              <w:t>1.5</w:t>
            </w:r>
            <w:r>
              <w:rPr>
                <w:lang w:bidi="ar"/>
              </w:rPr>
              <w:t>mm</w:t>
            </w:r>
            <w:r>
              <w:rPr>
                <w:rFonts w:hint="eastAsia"/>
                <w:lang w:bidi="ar"/>
              </w:rPr>
              <w:t>，角度误差</w:t>
            </w:r>
            <w:r>
              <w:rPr>
                <w:lang w:bidi="ar"/>
              </w:rPr>
              <w:t>≤</w:t>
            </w:r>
            <w:r>
              <w:rPr>
                <w:rFonts w:hint="eastAsia"/>
                <w:lang w:bidi="ar"/>
              </w:rPr>
              <w:t>1.</w:t>
            </w:r>
            <w:r>
              <w:rPr>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0" w:hRule="atLeast"/>
        </w:trPr>
        <w:tc>
          <w:tcPr>
            <w:tcW w:w="622" w:type="dxa"/>
            <w:vAlign w:val="center"/>
          </w:tcPr>
          <w:p>
            <w:pPr>
              <w:widowControl w:val="0"/>
              <w:ind w:left="0" w:leftChars="0" w:firstLine="0" w:firstLineChars="0"/>
              <w:jc w:val="center"/>
              <w:textAlignment w:val="auto"/>
            </w:pPr>
            <w:r>
              <w:rPr>
                <w:rFonts w:hint="eastAsia"/>
                <w:lang w:bidi="ar"/>
              </w:rPr>
              <w:t>6</w:t>
            </w:r>
          </w:p>
        </w:tc>
        <w:tc>
          <w:tcPr>
            <w:tcW w:w="1949" w:type="dxa"/>
            <w:vAlign w:val="center"/>
          </w:tcPr>
          <w:p>
            <w:pPr>
              <w:widowControl w:val="0"/>
              <w:ind w:left="0" w:leftChars="0" w:firstLine="0" w:firstLineChars="0"/>
              <w:jc w:val="center"/>
              <w:textAlignment w:val="auto"/>
              <w:rPr>
                <w:sz w:val="24"/>
                <w:szCs w:val="24"/>
              </w:rPr>
            </w:pPr>
            <w:r>
              <w:rPr>
                <w:lang w:bidi="ar"/>
              </w:rPr>
              <w:t>电气安全、EMC、环境要求及网络安全</w:t>
            </w:r>
          </w:p>
        </w:tc>
        <w:tc>
          <w:tcPr>
            <w:tcW w:w="3291" w:type="dxa"/>
            <w:vAlign w:val="center"/>
          </w:tcPr>
          <w:p>
            <w:pPr>
              <w:widowControl w:val="0"/>
              <w:jc w:val="both"/>
              <w:textAlignment w:val="auto"/>
              <w:rPr>
                <w:sz w:val="24"/>
                <w:szCs w:val="24"/>
              </w:rPr>
            </w:pPr>
            <w:r>
              <w:rPr>
                <w:lang w:bidi="ar"/>
              </w:rPr>
              <w:t>符合相关要求</w:t>
            </w:r>
          </w:p>
        </w:tc>
        <w:tc>
          <w:tcPr>
            <w:tcW w:w="3379" w:type="dxa"/>
            <w:vAlign w:val="center"/>
          </w:tcPr>
          <w:p>
            <w:pPr>
              <w:widowControl w:val="0"/>
              <w:jc w:val="both"/>
              <w:textAlignment w:val="auto"/>
              <w:rPr>
                <w:sz w:val="24"/>
                <w:szCs w:val="24"/>
              </w:rPr>
            </w:pPr>
            <w:r>
              <w:rPr>
                <w:lang w:bidi="ar"/>
              </w:rPr>
              <w:t>符合相关要求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pPr>
            <w:r>
              <w:rPr>
                <w:rFonts w:hint="eastAsia"/>
                <w:lang w:bidi="ar"/>
              </w:rPr>
              <w:t>7</w:t>
            </w:r>
          </w:p>
        </w:tc>
        <w:tc>
          <w:tcPr>
            <w:tcW w:w="1949" w:type="dxa"/>
            <w:vAlign w:val="center"/>
          </w:tcPr>
          <w:p>
            <w:pPr>
              <w:widowControl w:val="0"/>
              <w:ind w:left="0" w:leftChars="0" w:firstLine="0" w:firstLineChars="0"/>
              <w:jc w:val="center"/>
              <w:textAlignment w:val="auto"/>
              <w:rPr>
                <w:sz w:val="24"/>
                <w:szCs w:val="24"/>
              </w:rPr>
            </w:pPr>
            <w:r>
              <w:rPr>
                <w:rFonts w:hint="eastAsia"/>
                <w:lang w:bidi="ar"/>
              </w:rPr>
              <w:t>整机设备</w:t>
            </w:r>
            <w:r>
              <w:rPr>
                <w:lang w:bidi="ar"/>
              </w:rPr>
              <w:t>有效期</w:t>
            </w:r>
          </w:p>
        </w:tc>
        <w:tc>
          <w:tcPr>
            <w:tcW w:w="3291" w:type="dxa"/>
            <w:vAlign w:val="center"/>
          </w:tcPr>
          <w:p>
            <w:pPr>
              <w:widowControl w:val="0"/>
              <w:jc w:val="both"/>
              <w:textAlignment w:val="auto"/>
              <w:rPr>
                <w:sz w:val="24"/>
                <w:szCs w:val="24"/>
              </w:rPr>
            </w:pPr>
            <w:r>
              <w:rPr>
                <w:lang w:bidi="ar"/>
              </w:rPr>
              <w:t>8年</w:t>
            </w:r>
          </w:p>
        </w:tc>
        <w:tc>
          <w:tcPr>
            <w:tcW w:w="3379" w:type="dxa"/>
            <w:vAlign w:val="center"/>
          </w:tcPr>
          <w:p>
            <w:pPr>
              <w:widowControl w:val="0"/>
              <w:jc w:val="both"/>
              <w:textAlignment w:val="auto"/>
              <w:rPr>
                <w:sz w:val="24"/>
                <w:szCs w:val="24"/>
              </w:rPr>
            </w:pPr>
            <w:r>
              <w:rPr>
                <w:lang w:bidi="ar"/>
              </w:rPr>
              <w:t>8年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lang w:bidi="ar"/>
              </w:rPr>
            </w:pPr>
            <w:r>
              <w:rPr>
                <w:rFonts w:hint="eastAsia"/>
                <w:lang w:bidi="ar"/>
              </w:rPr>
              <w:t>8</w:t>
            </w:r>
          </w:p>
        </w:tc>
        <w:tc>
          <w:tcPr>
            <w:tcW w:w="1949" w:type="dxa"/>
            <w:vAlign w:val="center"/>
          </w:tcPr>
          <w:p>
            <w:pPr>
              <w:widowControl w:val="0"/>
              <w:ind w:left="0" w:leftChars="0" w:firstLine="0" w:firstLineChars="0"/>
              <w:jc w:val="center"/>
              <w:textAlignment w:val="auto"/>
              <w:rPr>
                <w:lang w:bidi="ar"/>
              </w:rPr>
            </w:pPr>
            <w:r>
              <w:rPr>
                <w:rFonts w:hint="eastAsia"/>
                <w:lang w:bidi="ar"/>
              </w:rPr>
              <w:t>定位器</w:t>
            </w:r>
          </w:p>
        </w:tc>
        <w:tc>
          <w:tcPr>
            <w:tcW w:w="3291" w:type="dxa"/>
            <w:vAlign w:val="center"/>
          </w:tcPr>
          <w:p>
            <w:pPr>
              <w:widowControl w:val="0"/>
              <w:jc w:val="both"/>
              <w:textAlignment w:val="auto"/>
              <w:rPr>
                <w:lang w:bidi="ar"/>
              </w:rPr>
            </w:pPr>
            <w:r>
              <w:rPr>
                <w:lang w:bidi="ar"/>
              </w:rPr>
              <w:t>200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eastAsia" w:eastAsia="宋体"/>
                <w:lang w:val="en-US" w:eastAsia="zh-CN" w:bidi="ar"/>
              </w:rPr>
            </w:pPr>
            <w:r>
              <w:rPr>
                <w:rFonts w:hint="eastAsia"/>
                <w:lang w:val="en-US" w:eastAsia="zh-CN" w:bidi="ar"/>
              </w:rPr>
              <w:t>9</w:t>
            </w:r>
          </w:p>
        </w:tc>
        <w:tc>
          <w:tcPr>
            <w:tcW w:w="1949" w:type="dxa"/>
            <w:vAlign w:val="center"/>
          </w:tcPr>
          <w:p>
            <w:pPr>
              <w:widowControl w:val="0"/>
              <w:ind w:left="0" w:leftChars="0" w:firstLine="0" w:firstLineChars="0"/>
              <w:jc w:val="center"/>
              <w:textAlignment w:val="auto"/>
              <w:rPr>
                <w:lang w:bidi="ar"/>
              </w:rPr>
            </w:pPr>
            <w:r>
              <w:rPr>
                <w:rFonts w:hint="eastAsia"/>
                <w:lang w:bidi="ar"/>
              </w:rPr>
              <w:t>C臂机配准板效期</w:t>
            </w:r>
          </w:p>
        </w:tc>
        <w:tc>
          <w:tcPr>
            <w:tcW w:w="3291" w:type="dxa"/>
            <w:vAlign w:val="center"/>
          </w:tcPr>
          <w:p>
            <w:pPr>
              <w:widowControl w:val="0"/>
              <w:jc w:val="both"/>
              <w:textAlignment w:val="auto"/>
              <w:rPr>
                <w:lang w:bidi="ar"/>
              </w:rPr>
            </w:pPr>
            <w:r>
              <w:rPr>
                <w:rFonts w:hint="eastAsia"/>
                <w:lang w:bidi="ar"/>
              </w:rPr>
              <w:t>3</w:t>
            </w:r>
            <w:r>
              <w:rPr>
                <w:lang w:bidi="ar"/>
              </w:rPr>
              <w:t>00</w:t>
            </w:r>
            <w:r>
              <w:rPr>
                <w:rFonts w:hint="eastAsia"/>
                <w:lang w:bidi="ar"/>
              </w:rPr>
              <w:t>次</w:t>
            </w:r>
          </w:p>
        </w:tc>
        <w:tc>
          <w:tcPr>
            <w:tcW w:w="3379" w:type="dxa"/>
            <w:vAlign w:val="center"/>
          </w:tcPr>
          <w:p>
            <w:pPr>
              <w:widowControl w:val="0"/>
              <w:jc w:val="both"/>
              <w:textAlignment w:val="auto"/>
              <w:rPr>
                <w:lang w:bidi="ar"/>
              </w:rPr>
            </w:pPr>
            <w:r>
              <w:rPr>
                <w:lang w:bidi="ar"/>
              </w:rPr>
              <w:t>300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10</w:t>
            </w:r>
          </w:p>
        </w:tc>
        <w:tc>
          <w:tcPr>
            <w:tcW w:w="1949" w:type="dxa"/>
            <w:vAlign w:val="center"/>
          </w:tcPr>
          <w:p>
            <w:pPr>
              <w:widowControl w:val="0"/>
              <w:ind w:left="0" w:leftChars="0" w:firstLine="0" w:firstLineChars="0"/>
              <w:jc w:val="center"/>
              <w:textAlignment w:val="auto"/>
              <w:rPr>
                <w:lang w:bidi="ar"/>
              </w:rPr>
            </w:pPr>
            <w:r>
              <w:rPr>
                <w:rFonts w:hint="eastAsia"/>
                <w:lang w:bidi="ar"/>
              </w:rPr>
              <w:t>C臂机配准板示踪器效期</w:t>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11</w:t>
            </w:r>
          </w:p>
        </w:tc>
        <w:tc>
          <w:tcPr>
            <w:tcW w:w="1949" w:type="dxa"/>
            <w:vAlign w:val="center"/>
          </w:tcPr>
          <w:p>
            <w:pPr>
              <w:widowControl w:val="0"/>
              <w:ind w:left="0" w:leftChars="0" w:firstLine="0" w:firstLineChars="0"/>
              <w:jc w:val="center"/>
              <w:textAlignment w:val="auto"/>
              <w:rPr>
                <w:lang w:bidi="ar"/>
              </w:rPr>
            </w:pPr>
            <w:r>
              <w:rPr>
                <w:rFonts w:hint="eastAsia"/>
                <w:lang w:bidi="ar"/>
              </w:rPr>
              <w:t>机械臂配准板效期</w:t>
            </w:r>
          </w:p>
        </w:tc>
        <w:tc>
          <w:tcPr>
            <w:tcW w:w="3291" w:type="dxa"/>
            <w:vAlign w:val="center"/>
          </w:tcPr>
          <w:p>
            <w:pPr>
              <w:widowControl w:val="0"/>
              <w:jc w:val="both"/>
              <w:textAlignment w:val="auto"/>
              <w:rPr>
                <w:lang w:bidi="ar"/>
              </w:rPr>
            </w:pPr>
            <w:r>
              <w:rPr>
                <w:lang w:bidi="ar"/>
              </w:rPr>
              <w:t>300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12</w:t>
            </w:r>
          </w:p>
        </w:tc>
        <w:tc>
          <w:tcPr>
            <w:tcW w:w="1949" w:type="dxa"/>
            <w:vAlign w:val="center"/>
          </w:tcPr>
          <w:p>
            <w:pPr>
              <w:widowControl w:val="0"/>
              <w:ind w:left="0" w:leftChars="0" w:firstLine="0" w:firstLineChars="0"/>
              <w:jc w:val="center"/>
              <w:textAlignment w:val="auto"/>
              <w:rPr>
                <w:lang w:bidi="ar"/>
              </w:rPr>
            </w:pPr>
            <w:r>
              <w:rPr>
                <w:rFonts w:hint="eastAsia"/>
                <w:lang w:bidi="ar"/>
              </w:rPr>
              <w:t>患者示踪器效期</w:t>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13</w:t>
            </w:r>
          </w:p>
        </w:tc>
        <w:tc>
          <w:tcPr>
            <w:tcW w:w="1949" w:type="dxa"/>
            <w:vAlign w:val="center"/>
          </w:tcPr>
          <w:p>
            <w:pPr>
              <w:widowControl w:val="0"/>
              <w:ind w:left="0" w:leftChars="0" w:firstLine="0" w:firstLineChars="0"/>
              <w:jc w:val="center"/>
              <w:textAlignment w:val="auto"/>
              <w:rPr>
                <w:lang w:bidi="ar"/>
              </w:rPr>
            </w:pPr>
            <w:r>
              <w:rPr>
                <w:rFonts w:hint="eastAsia"/>
                <w:lang w:bidi="ar"/>
              </w:rPr>
              <w:t>探针效期</w:t>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14</w:t>
            </w:r>
          </w:p>
        </w:tc>
        <w:tc>
          <w:tcPr>
            <w:tcW w:w="1949" w:type="dxa"/>
            <w:vAlign w:val="center"/>
          </w:tcPr>
          <w:p>
            <w:pPr>
              <w:widowControl w:val="0"/>
              <w:ind w:left="0" w:leftChars="0" w:firstLine="0" w:firstLineChars="0"/>
              <w:jc w:val="center"/>
              <w:textAlignment w:val="auto"/>
              <w:rPr>
                <w:lang w:bidi="ar"/>
              </w:rPr>
            </w:pPr>
            <w:r>
              <w:rPr>
                <w:rFonts w:hint="eastAsia"/>
                <w:lang w:bidi="ar"/>
              </w:rPr>
              <w:t>一级套筒效期</w:t>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15</w:t>
            </w:r>
          </w:p>
        </w:tc>
        <w:tc>
          <w:tcPr>
            <w:tcW w:w="1949" w:type="dxa"/>
            <w:vAlign w:val="center"/>
          </w:tcPr>
          <w:p>
            <w:pPr>
              <w:widowControl w:val="0"/>
              <w:ind w:left="0" w:leftChars="0" w:firstLine="0" w:firstLineChars="0"/>
              <w:jc w:val="center"/>
              <w:textAlignment w:val="auto"/>
              <w:rPr>
                <w:lang w:bidi="ar"/>
              </w:rPr>
            </w:pPr>
            <w:r>
              <w:rPr>
                <w:rFonts w:hint="eastAsia"/>
                <w:lang w:bidi="ar"/>
              </w:rPr>
              <w:t>标定器效期</w:t>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bidi="ar"/>
              </w:rPr>
            </w:pPr>
            <w:r>
              <w:rPr>
                <w:rFonts w:hint="eastAsia"/>
                <w:lang w:val="en-US" w:eastAsia="zh-CN" w:bidi="ar"/>
              </w:rPr>
              <w:t>16</w:t>
            </w:r>
          </w:p>
        </w:tc>
        <w:tc>
          <w:tcPr>
            <w:tcW w:w="1949" w:type="dxa"/>
            <w:vAlign w:val="center"/>
          </w:tcPr>
          <w:p>
            <w:pPr>
              <w:widowControl w:val="0"/>
              <w:jc w:val="center"/>
              <w:textAlignment w:val="auto"/>
              <w:rPr>
                <w:lang w:bidi="ar"/>
              </w:rPr>
            </w:pPr>
            <w:commentRangeStart w:id="0"/>
            <w:r>
              <w:rPr>
                <w:rFonts w:hint="eastAsia"/>
                <w:lang w:bidi="ar"/>
              </w:rPr>
              <w:t>骨钻示踪器效期</w:t>
            </w:r>
            <w:commentRangeEnd w:id="0"/>
            <w:r>
              <w:commentReference w:id="0"/>
            </w:r>
          </w:p>
        </w:tc>
        <w:tc>
          <w:tcPr>
            <w:tcW w:w="3291" w:type="dxa"/>
            <w:vAlign w:val="center"/>
          </w:tcPr>
          <w:p>
            <w:pPr>
              <w:widowControl w:val="0"/>
              <w:jc w:val="both"/>
              <w:textAlignment w:val="auto"/>
              <w:rPr>
                <w:lang w:bidi="ar"/>
              </w:rPr>
            </w:pPr>
            <w:r>
              <w:rPr>
                <w:rFonts w:hint="eastAsia"/>
                <w:lang w:bidi="ar"/>
              </w:rPr>
              <w:t>1</w:t>
            </w:r>
            <w:r>
              <w:rPr>
                <w:lang w:bidi="ar"/>
              </w:rPr>
              <w:t>00</w:t>
            </w:r>
            <w:r>
              <w:rPr>
                <w:rFonts w:hint="eastAsia"/>
                <w:lang w:bidi="ar"/>
              </w:rPr>
              <w:t>次</w:t>
            </w:r>
          </w:p>
        </w:tc>
        <w:tc>
          <w:tcPr>
            <w:tcW w:w="3379" w:type="dxa"/>
            <w:vAlign w:val="center"/>
          </w:tcPr>
          <w:p>
            <w:pPr>
              <w:widowControl w:val="0"/>
              <w:jc w:val="both"/>
              <w:textAlignment w:val="auto"/>
              <w:rPr>
                <w:lang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210" w:firstLineChars="100"/>
              <w:jc w:val="both"/>
              <w:textAlignment w:val="auto"/>
              <w:rPr>
                <w:rFonts w:hint="default" w:ascii="Times New Roman" w:hAnsi="Times New Roman" w:eastAsia="宋体" w:cs="Times New Roman"/>
                <w:kern w:val="2"/>
                <w:sz w:val="21"/>
                <w:szCs w:val="22"/>
                <w:lang w:val="en-US" w:eastAsia="zh-CN" w:bidi="ar"/>
              </w:rPr>
            </w:pPr>
            <w:r>
              <w:rPr>
                <w:rFonts w:hint="eastAsia" w:cs="Times New Roman"/>
                <w:kern w:val="2"/>
                <w:sz w:val="21"/>
                <w:szCs w:val="22"/>
                <w:lang w:val="en-US" w:eastAsia="zh-CN" w:bidi="ar"/>
              </w:rPr>
              <w:t>17</w:t>
            </w:r>
          </w:p>
        </w:tc>
        <w:tc>
          <w:tcPr>
            <w:tcW w:w="1949"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val="en-US" w:eastAsia="zh-CN" w:bidi="ar"/>
              </w:rPr>
              <w:t>扳手</w:t>
            </w:r>
          </w:p>
        </w:tc>
        <w:tc>
          <w:tcPr>
            <w:tcW w:w="3291"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1</w:t>
            </w:r>
            <w:r>
              <w:rPr>
                <w:lang w:bidi="ar"/>
              </w:rPr>
              <w:t>00</w:t>
            </w:r>
            <w:r>
              <w:rPr>
                <w:rFonts w:hint="eastAsia"/>
                <w:lang w:bidi="ar"/>
              </w:rPr>
              <w:t>次</w:t>
            </w:r>
          </w:p>
        </w:tc>
        <w:tc>
          <w:tcPr>
            <w:tcW w:w="3379"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210" w:firstLineChars="100"/>
              <w:jc w:val="both"/>
              <w:textAlignment w:val="auto"/>
              <w:rPr>
                <w:rFonts w:hint="default" w:ascii="Times New Roman" w:hAnsi="Times New Roman" w:eastAsia="宋体" w:cs="Times New Roman"/>
                <w:kern w:val="2"/>
                <w:sz w:val="21"/>
                <w:szCs w:val="22"/>
                <w:lang w:val="en-US" w:eastAsia="zh-CN" w:bidi="ar"/>
              </w:rPr>
            </w:pPr>
            <w:r>
              <w:rPr>
                <w:rFonts w:hint="eastAsia" w:cs="Times New Roman"/>
                <w:kern w:val="2"/>
                <w:sz w:val="21"/>
                <w:szCs w:val="22"/>
                <w:lang w:val="en-US" w:eastAsia="zh-CN" w:bidi="ar"/>
              </w:rPr>
              <w:t>18</w:t>
            </w:r>
          </w:p>
        </w:tc>
        <w:tc>
          <w:tcPr>
            <w:tcW w:w="1949" w:type="dxa"/>
            <w:vAlign w:val="center"/>
          </w:tcPr>
          <w:p>
            <w:pPr>
              <w:widowControl w:val="0"/>
              <w:ind w:firstLine="420" w:firstLineChars="0"/>
              <w:jc w:val="both"/>
              <w:textAlignment w:val="auto"/>
              <w:rPr>
                <w:rFonts w:hint="default" w:ascii="Times New Roman" w:hAnsi="Times New Roman" w:eastAsia="宋体" w:cs="Times New Roman"/>
                <w:kern w:val="2"/>
                <w:sz w:val="21"/>
                <w:szCs w:val="22"/>
                <w:lang w:val="en-US" w:eastAsia="zh-CN" w:bidi="ar"/>
              </w:rPr>
            </w:pPr>
            <w:r>
              <w:rPr>
                <w:rFonts w:hint="eastAsia"/>
                <w:lang w:val="en-US" w:eastAsia="zh-CN" w:bidi="ar"/>
              </w:rPr>
              <w:t>二级套筒</w:t>
            </w:r>
            <w:r>
              <w:rPr>
                <w:rFonts w:hint="eastAsia" w:ascii="宋体" w:hAnsi="宋体" w:cs="宋体"/>
                <w:color w:val="000000"/>
                <w:kern w:val="0"/>
                <w:sz w:val="18"/>
                <w:szCs w:val="18"/>
              </w:rPr>
              <w:t>(</w:t>
            </w:r>
            <w:r>
              <w:rPr>
                <w:rFonts w:hint="eastAsia" w:ascii="宋体" w:hAnsi="宋体" w:cs="宋体"/>
                <w:color w:val="000000"/>
                <w:w w:val="80"/>
                <w:kern w:val="0"/>
                <w:sz w:val="18"/>
                <w:szCs w:val="18"/>
              </w:rPr>
              <w:t>φ</w:t>
            </w:r>
            <w:r>
              <w:rPr>
                <w:rFonts w:ascii="宋体" w:hAnsi="宋体" w:cs="宋体"/>
                <w:color w:val="000000"/>
                <w:kern w:val="0"/>
                <w:sz w:val="18"/>
                <w:szCs w:val="18"/>
              </w:rPr>
              <w:t>2.5mm</w:t>
            </w:r>
            <w:r>
              <w:rPr>
                <w:rFonts w:ascii="宋体" w:hAnsi="宋体" w:cs="宋体"/>
                <w:color w:val="000000"/>
                <w:w w:val="80"/>
                <w:kern w:val="0"/>
                <w:sz w:val="18"/>
                <w:szCs w:val="18"/>
              </w:rPr>
              <w:t>×</w:t>
            </w:r>
            <w:r>
              <w:rPr>
                <w:rFonts w:ascii="宋体" w:hAnsi="宋体" w:cs="宋体"/>
                <w:color w:val="000000"/>
                <w:kern w:val="0"/>
                <w:sz w:val="18"/>
                <w:szCs w:val="18"/>
              </w:rPr>
              <w:t>150mm</w:t>
            </w:r>
            <w:r>
              <w:rPr>
                <w:rFonts w:hint="eastAsia" w:ascii="宋体" w:hAnsi="宋体" w:cs="宋体"/>
                <w:color w:val="000000"/>
                <w:kern w:val="0"/>
                <w:sz w:val="18"/>
                <w:szCs w:val="18"/>
              </w:rPr>
              <w:t>)</w:t>
            </w:r>
          </w:p>
        </w:tc>
        <w:tc>
          <w:tcPr>
            <w:tcW w:w="3291"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1</w:t>
            </w:r>
            <w:r>
              <w:rPr>
                <w:lang w:bidi="ar"/>
              </w:rPr>
              <w:t>00</w:t>
            </w:r>
            <w:r>
              <w:rPr>
                <w:rFonts w:hint="eastAsia"/>
                <w:lang w:bidi="ar"/>
              </w:rPr>
              <w:t>次</w:t>
            </w:r>
          </w:p>
        </w:tc>
        <w:tc>
          <w:tcPr>
            <w:tcW w:w="3379"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210" w:firstLineChars="100"/>
              <w:jc w:val="both"/>
              <w:textAlignment w:val="auto"/>
              <w:rPr>
                <w:rFonts w:hint="default" w:ascii="Times New Roman" w:hAnsi="Times New Roman" w:eastAsia="宋体" w:cs="Times New Roman"/>
                <w:kern w:val="2"/>
                <w:sz w:val="21"/>
                <w:szCs w:val="22"/>
                <w:lang w:val="en-US" w:eastAsia="zh-CN" w:bidi="ar"/>
              </w:rPr>
            </w:pPr>
            <w:r>
              <w:rPr>
                <w:rFonts w:hint="eastAsia" w:cs="Times New Roman"/>
                <w:kern w:val="2"/>
                <w:sz w:val="21"/>
                <w:szCs w:val="22"/>
                <w:lang w:val="en-US" w:eastAsia="zh-CN" w:bidi="ar"/>
              </w:rPr>
              <w:t>19</w:t>
            </w:r>
          </w:p>
        </w:tc>
        <w:tc>
          <w:tcPr>
            <w:tcW w:w="1949" w:type="dxa"/>
            <w:vAlign w:val="center"/>
          </w:tcPr>
          <w:p>
            <w:pPr>
              <w:widowControl w:val="0"/>
              <w:ind w:firstLine="420" w:firstLineChars="0"/>
              <w:jc w:val="both"/>
              <w:textAlignment w:val="auto"/>
              <w:rPr>
                <w:rFonts w:hint="default" w:ascii="Times New Roman" w:hAnsi="Times New Roman" w:eastAsia="宋体" w:cs="Times New Roman"/>
                <w:kern w:val="2"/>
                <w:sz w:val="21"/>
                <w:szCs w:val="22"/>
                <w:lang w:val="en-US" w:eastAsia="zh-CN" w:bidi="ar"/>
              </w:rPr>
            </w:pPr>
            <w:r>
              <w:rPr>
                <w:rFonts w:hint="eastAsia"/>
                <w:lang w:val="en-US" w:eastAsia="zh-CN" w:bidi="ar"/>
              </w:rPr>
              <w:t>固定杆</w:t>
            </w:r>
            <w:r>
              <w:rPr>
                <w:rFonts w:hint="eastAsia" w:ascii="宋体" w:hAnsi="宋体" w:cs="宋体"/>
                <w:color w:val="000000"/>
                <w:kern w:val="0"/>
                <w:sz w:val="18"/>
                <w:szCs w:val="18"/>
              </w:rPr>
              <w:t>φ</w:t>
            </w:r>
            <w:r>
              <w:rPr>
                <w:rFonts w:ascii="宋体" w:hAnsi="宋体" w:cs="宋体"/>
                <w:color w:val="000000"/>
                <w:kern w:val="0"/>
                <w:sz w:val="18"/>
                <w:szCs w:val="18"/>
              </w:rPr>
              <w:t>4.5</w:t>
            </w:r>
          </w:p>
        </w:tc>
        <w:tc>
          <w:tcPr>
            <w:tcW w:w="3291"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1</w:t>
            </w:r>
            <w:r>
              <w:rPr>
                <w:lang w:bidi="ar"/>
              </w:rPr>
              <w:t>00</w:t>
            </w:r>
            <w:r>
              <w:rPr>
                <w:rFonts w:hint="eastAsia"/>
                <w:lang w:bidi="ar"/>
              </w:rPr>
              <w:t>次</w:t>
            </w:r>
          </w:p>
        </w:tc>
        <w:tc>
          <w:tcPr>
            <w:tcW w:w="3379" w:type="dxa"/>
            <w:vAlign w:val="center"/>
          </w:tcPr>
          <w:p>
            <w:pPr>
              <w:widowControl w:val="0"/>
              <w:ind w:firstLine="420" w:firstLineChars="0"/>
              <w:jc w:val="both"/>
              <w:textAlignment w:val="auto"/>
              <w:rPr>
                <w:rFonts w:hint="eastAsia" w:ascii="Times New Roman" w:hAnsi="Times New Roman" w:eastAsia="宋体" w:cs="Times New Roman"/>
                <w:kern w:val="2"/>
                <w:sz w:val="21"/>
                <w:szCs w:val="22"/>
                <w:lang w:val="en-US" w:eastAsia="zh-CN" w:bidi="ar"/>
              </w:rPr>
            </w:pPr>
            <w:r>
              <w:rPr>
                <w:rFonts w:hint="eastAsia"/>
                <w:lang w:bidi="ar"/>
              </w:rPr>
              <w:t>5</w:t>
            </w:r>
            <w:r>
              <w:rPr>
                <w:lang w:bidi="ar"/>
              </w:rPr>
              <w:t>0</w:t>
            </w:r>
            <w:r>
              <w:rPr>
                <w:rFonts w:hint="eastAsia"/>
                <w:lang w:bidi="ar"/>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rPr>
            </w:pPr>
            <w:r>
              <w:rPr>
                <w:rFonts w:hint="eastAsia"/>
                <w:lang w:val="en-US" w:eastAsia="zh-CN"/>
              </w:rPr>
              <w:t>20</w:t>
            </w:r>
          </w:p>
        </w:tc>
        <w:tc>
          <w:tcPr>
            <w:tcW w:w="1949" w:type="dxa"/>
            <w:vAlign w:val="center"/>
          </w:tcPr>
          <w:p>
            <w:pPr>
              <w:widowControl w:val="0"/>
              <w:jc w:val="center"/>
              <w:textAlignment w:val="auto"/>
              <w:rPr>
                <w:sz w:val="24"/>
                <w:szCs w:val="24"/>
              </w:rPr>
            </w:pPr>
            <w:r>
              <w:rPr>
                <w:lang w:bidi="ar"/>
              </w:rPr>
              <w:t>语言</w:t>
            </w:r>
          </w:p>
        </w:tc>
        <w:tc>
          <w:tcPr>
            <w:tcW w:w="3291" w:type="dxa"/>
            <w:vAlign w:val="center"/>
          </w:tcPr>
          <w:p>
            <w:pPr>
              <w:widowControl w:val="0"/>
              <w:jc w:val="both"/>
              <w:textAlignment w:val="auto"/>
              <w:rPr>
                <w:sz w:val="24"/>
                <w:szCs w:val="24"/>
              </w:rPr>
            </w:pPr>
            <w:r>
              <w:rPr>
                <w:kern w:val="0"/>
                <w:lang w:bidi="ar"/>
              </w:rPr>
              <w:t>中文</w:t>
            </w:r>
            <w:r>
              <w:rPr>
                <w:rStyle w:val="18"/>
                <w:rFonts w:eastAsiaTheme="minorEastAsia"/>
                <w:lang w:bidi="ar"/>
              </w:rPr>
              <w:t xml:space="preserve"> &amp; </w:t>
            </w:r>
            <w:r>
              <w:rPr>
                <w:rStyle w:val="19"/>
                <w:rFonts w:ascii="Times New Roman" w:hAnsi="Times New Roman" w:cs="Times New Roman" w:eastAsiaTheme="minorEastAsia"/>
                <w:lang w:bidi="ar"/>
              </w:rPr>
              <w:t>英文</w:t>
            </w:r>
          </w:p>
        </w:tc>
        <w:tc>
          <w:tcPr>
            <w:tcW w:w="3379" w:type="dxa"/>
            <w:vAlign w:val="center"/>
          </w:tcPr>
          <w:p>
            <w:pPr>
              <w:widowControl w:val="0"/>
              <w:jc w:val="both"/>
              <w:textAlignment w:val="auto"/>
              <w:rPr>
                <w:sz w:val="24"/>
                <w:szCs w:val="24"/>
              </w:rPr>
            </w:pPr>
            <w:r>
              <w:rPr>
                <w:lang w:bidi="ar"/>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99" w:hRule="atLeast"/>
        </w:trPr>
        <w:tc>
          <w:tcPr>
            <w:tcW w:w="622" w:type="dxa"/>
            <w:vAlign w:val="center"/>
          </w:tcPr>
          <w:p>
            <w:pPr>
              <w:widowControl w:val="0"/>
              <w:ind w:left="0" w:leftChars="0" w:firstLine="0" w:firstLineChars="0"/>
              <w:jc w:val="center"/>
              <w:textAlignment w:val="auto"/>
              <w:rPr>
                <w:rFonts w:hint="default" w:eastAsia="宋体"/>
                <w:lang w:val="en-US" w:eastAsia="zh-CN"/>
              </w:rPr>
            </w:pPr>
            <w:r>
              <w:rPr>
                <w:rFonts w:hint="eastAsia"/>
                <w:lang w:val="en-US" w:eastAsia="zh-CN"/>
              </w:rPr>
              <w:t>21</w:t>
            </w:r>
          </w:p>
        </w:tc>
        <w:tc>
          <w:tcPr>
            <w:tcW w:w="1949" w:type="dxa"/>
            <w:vAlign w:val="center"/>
          </w:tcPr>
          <w:p>
            <w:pPr>
              <w:widowControl w:val="0"/>
              <w:jc w:val="center"/>
              <w:textAlignment w:val="auto"/>
              <w:rPr>
                <w:sz w:val="24"/>
                <w:szCs w:val="24"/>
              </w:rPr>
            </w:pPr>
            <w:r>
              <w:rPr>
                <w:lang w:bidi="ar"/>
              </w:rPr>
              <w:t>注册要求</w:t>
            </w:r>
          </w:p>
        </w:tc>
        <w:tc>
          <w:tcPr>
            <w:tcW w:w="3291" w:type="dxa"/>
            <w:vAlign w:val="center"/>
          </w:tcPr>
          <w:p>
            <w:pPr>
              <w:widowControl w:val="0"/>
              <w:jc w:val="both"/>
              <w:textAlignment w:val="auto"/>
              <w:rPr>
                <w:sz w:val="24"/>
                <w:szCs w:val="24"/>
              </w:rPr>
            </w:pPr>
            <w:r>
              <w:rPr>
                <w:lang w:bidi="ar"/>
              </w:rPr>
              <w:t>NMPA, CE &amp; FDA</w:t>
            </w:r>
          </w:p>
        </w:tc>
        <w:tc>
          <w:tcPr>
            <w:tcW w:w="3379" w:type="dxa"/>
            <w:vAlign w:val="center"/>
          </w:tcPr>
          <w:p>
            <w:pPr>
              <w:widowControl w:val="0"/>
              <w:jc w:val="both"/>
              <w:textAlignment w:val="auto"/>
              <w:rPr>
                <w:sz w:val="24"/>
                <w:szCs w:val="24"/>
              </w:rPr>
            </w:pPr>
            <w:r>
              <w:rPr>
                <w:lang w:bidi="ar"/>
              </w:rPr>
              <w:t>NMPA</w:t>
            </w:r>
          </w:p>
        </w:tc>
      </w:tr>
    </w:tbl>
    <w:p>
      <w:bookmarkStart w:id="17" w:name="_Toc19913"/>
      <w:r>
        <w:rPr>
          <w:rFonts w:hint="eastAsia"/>
        </w:rPr>
        <w:br w:type="page"/>
      </w:r>
    </w:p>
    <w:p>
      <w:pPr>
        <w:pStyle w:val="3"/>
        <w:spacing w:before="62" w:after="62" w:line="360" w:lineRule="auto"/>
      </w:pPr>
      <w:bookmarkStart w:id="18" w:name="_Toc32477"/>
      <w:r>
        <w:rPr>
          <w:rFonts w:hint="eastAsia"/>
        </w:rPr>
        <w:t>需求分析</w:t>
      </w:r>
      <w:bookmarkEnd w:id="17"/>
      <w:bookmarkEnd w:id="18"/>
    </w:p>
    <w:p>
      <w:pPr>
        <w:pStyle w:val="4"/>
        <w:spacing w:before="62" w:after="62" w:line="360" w:lineRule="auto"/>
      </w:pPr>
      <w:bookmarkStart w:id="19" w:name="_Ref7638"/>
      <w:bookmarkStart w:id="20" w:name="_Toc24437"/>
      <w:bookmarkStart w:id="21" w:name="_Toc31606"/>
      <w:r>
        <w:rPr>
          <w:rFonts w:hint="eastAsia"/>
        </w:rPr>
        <w:t>主要目标需求分析</w:t>
      </w:r>
      <w:bookmarkEnd w:id="19"/>
      <w:bookmarkEnd w:id="20"/>
      <w:bookmarkEnd w:id="21"/>
    </w:p>
    <w:bookmarkEnd w:id="14"/>
    <w:bookmarkEnd w:id="15"/>
    <w:bookmarkEnd w:id="16"/>
    <w:p>
      <w:pPr>
        <w:ind w:firstLine="420"/>
      </w:pPr>
      <w:r>
        <w:rPr>
          <w:rFonts w:hint="eastAsia"/>
        </w:rPr>
        <w:t>设计</w:t>
      </w:r>
      <w:r>
        <w:t>目标要求系统实现手术规划、</w:t>
      </w:r>
      <w:r>
        <w:rPr>
          <w:rFonts w:hint="eastAsia"/>
        </w:rPr>
        <w:t>通道</w:t>
      </w:r>
      <w:r>
        <w:t>定位、工具导航、体位监测和</w:t>
      </w:r>
      <w:r>
        <w:rPr>
          <w:rFonts w:hint="eastAsia"/>
        </w:rPr>
        <w:t>定位</w:t>
      </w:r>
      <w:r>
        <w:t>补偿</w:t>
      </w:r>
      <w:r>
        <w:rPr>
          <w:rFonts w:hint="eastAsia"/>
        </w:rPr>
        <w:t>、反馈验证</w:t>
      </w:r>
      <w:r>
        <w:t>。</w:t>
      </w:r>
      <w:r>
        <w:rPr>
          <w:rFonts w:hint="eastAsia"/>
        </w:rPr>
        <w:t>其涉及的关键点如下：</w:t>
      </w:r>
    </w:p>
    <w:p>
      <w:pPr>
        <w:pStyle w:val="22"/>
        <w:numPr>
          <w:ilvl w:val="0"/>
          <w:numId w:val="3"/>
        </w:numPr>
        <w:ind w:firstLine="420"/>
      </w:pPr>
      <w:r>
        <w:t>手术规划</w:t>
      </w:r>
    </w:p>
    <w:p>
      <w:pPr>
        <w:ind w:firstLine="420"/>
      </w:pPr>
      <w:r>
        <w:rPr>
          <w:rFonts w:hint="eastAsia"/>
        </w:rPr>
        <w:t>由于目标</w:t>
      </w:r>
      <w:r>
        <w:t>手术适应症</w:t>
      </w:r>
      <w:r>
        <w:rPr>
          <w:rFonts w:hint="eastAsia"/>
        </w:rPr>
        <w:t>针对的是脊柱、创伤类的一些需要置针/引导的手术，该类手术的引导路径往往是线性路径，并且存在医学上公认的安全通道。</w:t>
      </w:r>
      <w:r>
        <w:t>所以手术规划主要是</w:t>
      </w:r>
      <w:r>
        <w:rPr>
          <w:rFonts w:hint="eastAsia"/>
        </w:rPr>
        <w:t>对</w:t>
      </w:r>
      <w:r>
        <w:t>骨科手术中的</w:t>
      </w:r>
      <w:r>
        <w:rPr>
          <w:rFonts w:hint="eastAsia"/>
        </w:rPr>
        <w:t>进针或螺钉</w:t>
      </w:r>
      <w:r>
        <w:t>通道</w:t>
      </w:r>
      <w:r>
        <w:rPr>
          <w:rFonts w:hint="eastAsia"/>
        </w:rPr>
        <w:t>进行目标位置的</w:t>
      </w:r>
      <w:r>
        <w:t>规划</w:t>
      </w:r>
      <w:r>
        <w:rPr>
          <w:rFonts w:hint="eastAsia"/>
        </w:rPr>
        <w:t>。</w:t>
      </w:r>
      <w:r>
        <w:t>要实现在</w:t>
      </w:r>
      <w:r>
        <w:rPr>
          <w:rFonts w:hint="eastAsia"/>
        </w:rPr>
        <w:t>二维和三</w:t>
      </w:r>
      <w:r>
        <w:t>维影像下的此类规划操作，需要依赖</w:t>
      </w:r>
      <w:r>
        <w:rPr>
          <w:rFonts w:hint="eastAsia"/>
        </w:rPr>
        <w:t>二维图像的显示、二维螺钉放置与调整、螺钉三维重建，三</w:t>
      </w:r>
      <w:r>
        <w:t>维</w:t>
      </w:r>
      <w:r>
        <w:rPr>
          <w:rFonts w:hint="eastAsia"/>
        </w:rPr>
        <w:t>图像</w:t>
      </w:r>
      <w:r>
        <w:t>重建</w:t>
      </w:r>
      <w:r>
        <w:rPr>
          <w:rFonts w:hint="eastAsia"/>
        </w:rPr>
        <w:t>、三维</w:t>
      </w:r>
      <w:r>
        <w:t>空间</w:t>
      </w:r>
      <w:r>
        <w:rPr>
          <w:rFonts w:hint="eastAsia"/>
        </w:rPr>
        <w:t>中螺钉</w:t>
      </w:r>
      <w:r>
        <w:t>的</w:t>
      </w:r>
      <w:r>
        <w:rPr>
          <w:rFonts w:hint="eastAsia"/>
        </w:rPr>
        <w:t>放置和位置调整</w:t>
      </w:r>
      <w:r>
        <w:t>。</w:t>
      </w:r>
    </w:p>
    <w:p>
      <w:pPr>
        <w:ind w:firstLine="420"/>
      </w:pPr>
      <w:r>
        <w:t>综上所述，手术规划至少应该包含</w:t>
      </w:r>
      <w:r>
        <w:rPr>
          <w:rFonts w:hint="eastAsia"/>
        </w:rPr>
        <w:t>三维渲染、三维</w:t>
      </w:r>
      <w:r>
        <w:t>重建</w:t>
      </w:r>
      <w:r>
        <w:rPr>
          <w:rFonts w:hint="eastAsia"/>
        </w:rPr>
        <w:t>、二维</w:t>
      </w:r>
      <w:r>
        <w:t>通道规划</w:t>
      </w:r>
      <w:r>
        <w:rPr>
          <w:rFonts w:hint="eastAsia"/>
        </w:rPr>
        <w:t>与三维重建、三维通道规划、</w:t>
      </w:r>
      <w:r>
        <w:t>及相应的交互和可视化。</w:t>
      </w:r>
    </w:p>
    <w:p>
      <w:pPr>
        <w:pStyle w:val="22"/>
        <w:numPr>
          <w:ilvl w:val="0"/>
          <w:numId w:val="3"/>
        </w:numPr>
        <w:ind w:firstLine="420"/>
      </w:pPr>
      <w:bookmarkStart w:id="22" w:name="_Ref4559"/>
      <w:r>
        <w:rPr>
          <w:rFonts w:hint="eastAsia"/>
        </w:rPr>
        <w:t>通道</w:t>
      </w:r>
      <w:r>
        <w:t>定位</w:t>
      </w:r>
      <w:bookmarkEnd w:id="22"/>
    </w:p>
    <w:p>
      <w:pPr>
        <w:ind w:firstLine="420"/>
      </w:pPr>
      <w:r>
        <w:t>一般</w:t>
      </w:r>
      <w:r>
        <w:rPr>
          <w:rFonts w:hint="eastAsia"/>
        </w:rPr>
        <w:t>医用机器人</w:t>
      </w:r>
      <w:r>
        <w:t>行业</w:t>
      </w:r>
      <w:r>
        <w:rPr>
          <w:rFonts w:hint="eastAsia"/>
        </w:rPr>
        <w:t>实现</w:t>
      </w:r>
      <w:r>
        <w:t>术中定位导航</w:t>
      </w:r>
      <w:r>
        <w:rPr>
          <w:rFonts w:hint="eastAsia"/>
        </w:rPr>
        <w:t>的</w:t>
      </w:r>
      <w:r>
        <w:t>常规手段是通过现有协作</w:t>
      </w:r>
      <w:r>
        <w:rPr>
          <w:rFonts w:hint="eastAsia"/>
        </w:rPr>
        <w:t>机械臂</w:t>
      </w:r>
      <w:r>
        <w:t>执行导引动作。同时需要配套的工具用于克氏针的植入。由于协作</w:t>
      </w:r>
      <w:r>
        <w:rPr>
          <w:rFonts w:hint="eastAsia"/>
        </w:rPr>
        <w:t>机械臂</w:t>
      </w:r>
      <w:r>
        <w:t>与手术规划数据</w:t>
      </w:r>
      <w:r>
        <w:rPr>
          <w:rFonts w:hint="eastAsia"/>
        </w:rPr>
        <w:t>属于两个</w:t>
      </w:r>
      <w:r>
        <w:t>空间坐标</w:t>
      </w:r>
      <w:r>
        <w:rPr>
          <w:rFonts w:hint="eastAsia"/>
        </w:rPr>
        <w:t>系</w:t>
      </w:r>
      <w:r>
        <w:t>，因此需要进行坐标系</w:t>
      </w:r>
      <w:r>
        <w:rPr>
          <w:rFonts w:hint="eastAsia"/>
        </w:rPr>
        <w:t>的</w:t>
      </w:r>
      <w:r>
        <w:t>统一。考虑到一般医院，特别是基层医院一般在术中只能获取</w:t>
      </w:r>
      <w:r>
        <w:rPr>
          <w:rFonts w:hint="eastAsia"/>
        </w:rPr>
        <w:t>C臂机</w:t>
      </w:r>
      <w:r>
        <w:t>透视图的实际情况，</w:t>
      </w:r>
      <w:r>
        <w:rPr>
          <w:rFonts w:hint="eastAsia"/>
        </w:rPr>
        <w:t>因此</w:t>
      </w:r>
      <w:r>
        <w:t>本系统拟使用</w:t>
      </w:r>
      <w:r>
        <w:rPr>
          <w:rFonts w:hint="eastAsia"/>
        </w:rPr>
        <w:t>双目视觉系统、协作机械臂结合</w:t>
      </w:r>
      <w:r>
        <w:t>CT与X光</w:t>
      </w:r>
      <w:r>
        <w:rPr>
          <w:rFonts w:hint="eastAsia"/>
        </w:rPr>
        <w:t>的</w:t>
      </w:r>
      <w:r>
        <w:t>图像</w:t>
      </w:r>
      <w:r>
        <w:rPr>
          <w:rFonts w:hint="eastAsia"/>
        </w:rPr>
        <w:t>配准</w:t>
      </w:r>
      <w:r>
        <w:t>技术方案来实现坐标</w:t>
      </w:r>
      <w:r>
        <w:rPr>
          <w:rFonts w:hint="eastAsia"/>
        </w:rPr>
        <w:t>系</w:t>
      </w:r>
      <w:r>
        <w:t>统一</w:t>
      </w:r>
      <w:r>
        <w:rPr>
          <w:rFonts w:hint="eastAsia"/>
        </w:rPr>
        <w:t>。最后控制机械臂运动至目标定位位置，实现通道的定位。</w:t>
      </w:r>
    </w:p>
    <w:p>
      <w:pPr>
        <w:ind w:firstLine="420"/>
      </w:pPr>
      <w:r>
        <w:rPr>
          <w:rFonts w:hint="eastAsia"/>
        </w:rPr>
        <w:t>考虑到人机协作过程中的安全性问题，我们在软件中需要进行定位前的模拟仿真，确认安全后再进行定位操作，同时需要通过脚踏控制、急停按钮等方式对机械臂进行安全控制。</w:t>
      </w:r>
    </w:p>
    <w:p>
      <w:pPr>
        <w:pStyle w:val="22"/>
        <w:numPr>
          <w:ilvl w:val="0"/>
          <w:numId w:val="3"/>
        </w:numPr>
        <w:ind w:firstLine="420"/>
      </w:pPr>
      <w:r>
        <w:rPr>
          <w:rFonts w:hint="eastAsia"/>
        </w:rPr>
        <w:t>工具导航</w:t>
      </w:r>
    </w:p>
    <w:p>
      <w:pPr>
        <w:ind w:firstLine="420"/>
      </w:pPr>
      <w:r>
        <w:rPr>
          <w:rFonts w:hint="eastAsia"/>
        </w:rPr>
        <w:t>在传统骨科手术中，医生需要不断地进行X光透视，用于判断植入器械是否在合理的位置。因此医生需要在手术中看到手术器械在患者体内的实时位置。借助双目视觉系统可以将术中拍摄的X光图像、术前CT和手术器械统一到一起，然后将手术器械的实时位置映射到CT坐标系中或X光图像中，这样就可实时显示手术器械在患者体内的相对位置。</w:t>
      </w:r>
    </w:p>
    <w:p>
      <w:pPr>
        <w:pStyle w:val="22"/>
        <w:numPr>
          <w:ilvl w:val="0"/>
          <w:numId w:val="3"/>
        </w:numPr>
        <w:ind w:firstLine="420"/>
      </w:pPr>
      <w:r>
        <w:t>体位监测和</w:t>
      </w:r>
      <w:r>
        <w:rPr>
          <w:rFonts w:hint="eastAsia"/>
        </w:rPr>
        <w:t>定位</w:t>
      </w:r>
      <w:r>
        <w:t>补偿</w:t>
      </w:r>
    </w:p>
    <w:p>
      <w:pPr>
        <w:ind w:firstLine="420"/>
        <w:rPr>
          <w:rFonts w:eastAsiaTheme="minorEastAsia"/>
          <w:color w:val="000000"/>
          <w:kern w:val="0"/>
          <w:szCs w:val="21"/>
          <w:lang w:bidi="ar"/>
        </w:rPr>
      </w:pPr>
      <w:r>
        <w:t>术中体位监测</w:t>
      </w:r>
      <w:r>
        <w:rPr>
          <w:rFonts w:hint="eastAsia"/>
        </w:rPr>
        <w:t>是利用双目视觉系统对患者身上安装的示踪器进行实时跟踪，根据示踪器的实时位置来表示患者的体位</w:t>
      </w:r>
      <w:r>
        <w:t>。</w:t>
      </w:r>
      <w:r>
        <w:rPr>
          <w:rFonts w:hint="eastAsia"/>
        </w:rPr>
        <w:t>补偿是指术中检测到患者体位发生移动时，将该偏移量用于机械臂的定位补偿，实现位置捕捉和定位修正。</w:t>
      </w:r>
    </w:p>
    <w:p>
      <w:pPr>
        <w:pStyle w:val="22"/>
        <w:numPr>
          <w:ilvl w:val="0"/>
          <w:numId w:val="3"/>
        </w:numPr>
        <w:ind w:firstLine="420"/>
      </w:pPr>
      <w:r>
        <w:rPr>
          <w:rFonts w:hint="eastAsia"/>
        </w:rPr>
        <w:t>反馈验证</w:t>
      </w:r>
    </w:p>
    <w:p>
      <w:pPr>
        <w:ind w:firstLine="420" w:firstLineChars="0"/>
        <w:rPr>
          <w:rFonts w:eastAsiaTheme="minorEastAsia"/>
          <w:color w:val="000000"/>
          <w:kern w:val="0"/>
          <w:szCs w:val="21"/>
          <w:lang w:bidi="ar"/>
        </w:rPr>
      </w:pPr>
      <w:r>
        <w:rPr>
          <w:rFonts w:hint="eastAsia"/>
        </w:rPr>
        <w:t>术中完成螺钉或导针的置入之后，医生会对患者再次透视X光图像，用于判断置入物的位置是否合适。为了与规划数据进行对比，可将再次透视的X光图像与术中规划的X光图像并排放置，对置入物的位置进行比较，直观地反映置针精度。</w:t>
      </w:r>
    </w:p>
    <w:p>
      <w:pPr>
        <w:pStyle w:val="4"/>
        <w:spacing w:before="62" w:after="62"/>
      </w:pPr>
      <w:bookmarkStart w:id="23" w:name="_Toc10683"/>
      <w:bookmarkStart w:id="24" w:name="_Toc30441"/>
      <w:r>
        <w:rPr>
          <w:rFonts w:hint="eastAsia"/>
        </w:rPr>
        <w:t>适配C-arm要求分析</w:t>
      </w:r>
      <w:bookmarkEnd w:id="23"/>
      <w:bookmarkEnd w:id="24"/>
    </w:p>
    <w:p>
      <w:pPr>
        <w:ind w:firstLine="420"/>
      </w:pPr>
      <w:r>
        <w:rPr>
          <w:rFonts w:hint="eastAsia"/>
        </w:rPr>
        <w:t>设计目标要求适配</w:t>
      </w:r>
      <w:r>
        <w:rPr>
          <w:rFonts w:hint="eastAsia" w:eastAsiaTheme="minorEastAsia"/>
          <w:color w:val="000000"/>
          <w:kern w:val="0"/>
          <w:szCs w:val="21"/>
          <w:lang w:bidi="ar"/>
        </w:rPr>
        <w:t>符合DICOM协议的C臂机</w:t>
      </w:r>
      <w:r>
        <w:rPr>
          <w:rFonts w:hint="eastAsia"/>
        </w:rPr>
        <w:t>。因此需要对C臂机做畸变校准研究。畸变校准是对光学相机的镜头畸变模型进行研究，同时在所有透视图像处理环节中都需要对图像进行畸变校准。</w:t>
      </w:r>
    </w:p>
    <w:p>
      <w:pPr>
        <w:pStyle w:val="4"/>
        <w:spacing w:before="62" w:after="62"/>
      </w:pPr>
      <w:bookmarkStart w:id="25" w:name="_Toc4426"/>
      <w:r>
        <w:rPr>
          <w:rFonts w:hint="eastAsia"/>
        </w:rPr>
        <w:t>配准模式要求</w:t>
      </w:r>
      <w:bookmarkEnd w:id="25"/>
    </w:p>
    <w:p>
      <w:pPr>
        <w:ind w:firstLine="420"/>
      </w:pPr>
      <w:r>
        <w:rPr>
          <w:rFonts w:hint="eastAsia"/>
        </w:rPr>
        <w:t>设计理想目标要求本系统的适应症需要覆盖脊柱手术和创伤类手术，由于两种术式具有显著的区别，因此本系统将支持两种配准方式用于应对不同的手术类型。</w:t>
      </w:r>
    </w:p>
    <w:p>
      <w:pPr>
        <w:ind w:firstLine="420"/>
      </w:pPr>
      <w:r>
        <w:rPr>
          <w:rFonts w:hint="eastAsia"/>
        </w:rPr>
        <w:t>第一种是基于术前三维CT和术中二维X光图像配准的方式。该配准模式适用于脊柱类手术和位移不大的创伤类手术。</w:t>
      </w:r>
    </w:p>
    <w:p>
      <w:pPr>
        <w:ind w:firstLine="420"/>
      </w:pPr>
      <w:r>
        <w:rPr>
          <w:rFonts w:hint="eastAsia"/>
        </w:rPr>
        <w:t>第二种是基于术中二维X光图像的配准结合三维通道重建的方式实现三维定位。这种方式适用于术中需要复位的创伤类手术。</w:t>
      </w:r>
    </w:p>
    <w:p>
      <w:pPr>
        <w:pStyle w:val="4"/>
        <w:spacing w:before="62" w:after="62"/>
      </w:pPr>
      <w:bookmarkStart w:id="26" w:name="_Toc10557"/>
      <w:bookmarkStart w:id="27" w:name="_Toc15021"/>
      <w:r>
        <w:rPr>
          <w:rFonts w:hint="eastAsia"/>
        </w:rPr>
        <w:t>系统精度要求</w:t>
      </w:r>
      <w:bookmarkEnd w:id="26"/>
      <w:bookmarkEnd w:id="27"/>
    </w:p>
    <w:p>
      <w:pPr>
        <w:ind w:firstLine="420"/>
      </w:pPr>
      <w:r>
        <w:rPr>
          <w:rFonts w:hint="eastAsia"/>
        </w:rPr>
        <w:t>设计理想目标要求系统的</w:t>
      </w:r>
      <w:r>
        <w:t>线性误差≤1.5mm，角度误差≤1</w:t>
      </w:r>
      <w:r>
        <w:rPr>
          <w:rFonts w:hint="eastAsia"/>
        </w:rPr>
        <w:t>.</w:t>
      </w:r>
      <w:r>
        <w:t>5°</w:t>
      </w:r>
      <w:r>
        <w:rPr>
          <w:rFonts w:hint="eastAsia"/>
        </w:rPr>
        <w:t>。基于两种配准模式对系统误差的来源进行分析，误差来源如下：</w:t>
      </w:r>
    </w:p>
    <w:p>
      <w:pPr>
        <w:ind w:firstLine="420"/>
      </w:pPr>
      <w:r>
        <w:rPr>
          <w:rFonts w:hint="eastAsia"/>
        </w:rPr>
        <w:t>二维三维配准模式的系统误差＝</w:t>
      </w:r>
      <w:r>
        <w:t>畸变</w:t>
      </w:r>
      <w:r>
        <w:rPr>
          <w:rFonts w:hint="eastAsia"/>
        </w:rPr>
        <w:t>校准</w:t>
      </w:r>
      <w:r>
        <w:t>误差+小球识别误差+</w:t>
      </w:r>
      <w:r>
        <w:rPr>
          <w:rFonts w:hint="eastAsia"/>
        </w:rPr>
        <w:t>配准板三维</w:t>
      </w:r>
      <w:r>
        <w:t>标定误差+</w:t>
      </w:r>
      <w:r>
        <w:rPr>
          <w:rFonts w:hint="eastAsia"/>
        </w:rPr>
        <w:t>X光注册</w:t>
      </w:r>
      <w:r>
        <w:t>误差+图像配准误差+</w:t>
      </w:r>
      <w:r>
        <w:rPr>
          <w:rFonts w:hint="eastAsia"/>
        </w:rPr>
        <w:t>定位通道标定误差＋</w:t>
      </w:r>
      <w:r>
        <w:t>机械臂执行误差</w:t>
      </w:r>
      <w:r>
        <w:rPr>
          <w:rFonts w:hint="eastAsia"/>
        </w:rPr>
        <w:t>+双目相机定位误差+装配误差。</w:t>
      </w:r>
    </w:p>
    <w:p>
      <w:pPr>
        <w:ind w:firstLine="420"/>
      </w:pPr>
      <w:r>
        <w:rPr>
          <w:rFonts w:hint="eastAsia"/>
        </w:rPr>
        <w:t>纯二维配准模式的系统误差=</w:t>
      </w:r>
      <w:r>
        <w:t>畸变</w:t>
      </w:r>
      <w:r>
        <w:rPr>
          <w:rFonts w:hint="eastAsia"/>
        </w:rPr>
        <w:t>校准</w:t>
      </w:r>
      <w:r>
        <w:t>误差+小球识别误差+</w:t>
      </w:r>
      <w:r>
        <w:rPr>
          <w:rFonts w:hint="eastAsia"/>
        </w:rPr>
        <w:t>配准板三维</w:t>
      </w:r>
      <w:r>
        <w:t>标定误差+</w:t>
      </w:r>
      <w:r>
        <w:rPr>
          <w:rFonts w:hint="eastAsia"/>
        </w:rPr>
        <w:t>X光注册</w:t>
      </w:r>
      <w:r>
        <w:t>误差+</w:t>
      </w:r>
      <w:r>
        <w:rPr>
          <w:rFonts w:hint="eastAsia"/>
        </w:rPr>
        <w:t>定位通道标定误差＋</w:t>
      </w:r>
      <w:r>
        <w:t>机械臂执行误差</w:t>
      </w:r>
      <w:r>
        <w:rPr>
          <w:rFonts w:hint="eastAsia"/>
        </w:rPr>
        <w:t>+双目相机定位误差+装配误差。</w:t>
      </w:r>
    </w:p>
    <w:p>
      <w:pPr>
        <w:ind w:firstLine="420"/>
      </w:pPr>
      <w:r>
        <w:rPr>
          <w:rFonts w:hint="eastAsia"/>
        </w:rPr>
        <w:t>畸变校准误差是指对X光图像进行畸变矫正时引入的误差。小球识别误差是指对X光图像中显影的二维小球识别圆心坐标时引入的误差。配准板三维标定误差是指对C臂机配准板和机械臂配准板中钢珠球的三维坐标进行标定时引入的误差。X光注册误差是指注册X光图像过程中二维坐标和三维坐标配准引入的误差。</w:t>
      </w:r>
      <w:r>
        <w:t>图像配准误差</w:t>
      </w:r>
      <w:r>
        <w:rPr>
          <w:rFonts w:hint="eastAsia"/>
        </w:rPr>
        <w:t>是指二维X光图像和三维CT图像配准引入的误差。定位通道标定误差是指计算定位通道与定位器示踪器转换关系时引入的误差。装配误差是指定位器安装于末端控制器、机械臂配准板安装于定位器和配准板示踪器安装于C臂机配准板引入的误差。</w:t>
      </w:r>
    </w:p>
    <w:p>
      <w:pPr>
        <w:ind w:firstLine="420"/>
      </w:pPr>
      <w:r>
        <w:rPr>
          <w:rFonts w:hint="eastAsia"/>
        </w:rPr>
        <w:t>其中三维标记的</w:t>
      </w:r>
      <w:r>
        <w:t>标定</w:t>
      </w:r>
      <w:r>
        <w:rPr>
          <w:rFonts w:hint="eastAsia"/>
        </w:rPr>
        <w:t>和工具标定均采用高精度龙门三坐标仪（um级别测量精度）进行标定，减小了加工和装配带来的误差。由于加入了双目相机追踪机械臂末端的位置，对机械臂绝对定位精度的要求下降。双目相机的定位误差小于0.12mm。考虑到导针与套筒，套筒与定位通道间存在安装误差，软件系统的误差，即</w:t>
      </w:r>
      <w:r>
        <w:t>畸变误差+小球识别</w:t>
      </w:r>
      <w:r>
        <w:rPr>
          <w:rFonts w:hint="eastAsia"/>
        </w:rPr>
        <w:t>误差＋X光注册</w:t>
      </w:r>
      <w:r>
        <w:t>误差+图像配准误差</w:t>
      </w:r>
      <w:r>
        <w:rPr>
          <w:rFonts w:hint="eastAsia"/>
        </w:rPr>
        <w:t>应控制在1mm以内，以确保实现设计目标中要求的系统精度要求。</w:t>
      </w:r>
    </w:p>
    <w:p>
      <w:pPr>
        <w:pStyle w:val="4"/>
        <w:spacing w:before="62" w:after="62"/>
      </w:pPr>
      <w:bookmarkStart w:id="28" w:name="_Toc15146"/>
      <w:bookmarkStart w:id="29" w:name="_Toc14555"/>
      <w:r>
        <w:rPr>
          <w:rFonts w:hint="eastAsia"/>
        </w:rPr>
        <w:t>其他需求分析</w:t>
      </w:r>
      <w:bookmarkEnd w:id="28"/>
      <w:bookmarkEnd w:id="29"/>
    </w:p>
    <w:p>
      <w:pPr>
        <w:ind w:firstLine="420"/>
      </w:pPr>
      <w:r>
        <w:rPr>
          <w:rFonts w:hint="eastAsia"/>
        </w:rPr>
        <w:t>考虑常规医用电气设备应当满足的一般要求，如国家标准的要求，厂家自我主张的功能要求，性能要求，有效期等。</w:t>
      </w:r>
    </w:p>
    <w:p>
      <w:pPr>
        <w:spacing w:before="62" w:beforeLines="20" w:after="62" w:afterLines="20"/>
        <w:jc w:val="both"/>
      </w:pPr>
    </w:p>
    <w:p>
      <w:pPr>
        <w:spacing w:before="62" w:beforeLines="20" w:after="62" w:afterLines="20"/>
        <w:jc w:val="both"/>
        <w:rPr>
          <w:szCs w:val="21"/>
        </w:rPr>
      </w:pPr>
      <w:r>
        <w:rPr>
          <w:rFonts w:hint="eastAsia"/>
        </w:rPr>
        <w:br w:type="page"/>
      </w:r>
    </w:p>
    <w:p>
      <w:pPr>
        <w:pStyle w:val="3"/>
        <w:spacing w:before="62" w:after="62" w:line="360" w:lineRule="auto"/>
        <w:rPr>
          <w:rFonts w:ascii="宋体" w:hAnsi="宋体" w:cs="宋体"/>
        </w:rPr>
      </w:pPr>
      <w:bookmarkStart w:id="30" w:name="_Toc4537"/>
      <w:bookmarkStart w:id="31" w:name="_Toc25468"/>
      <w:bookmarkStart w:id="32" w:name="_Toc22632"/>
      <w:r>
        <w:rPr>
          <w:rFonts w:hint="eastAsia"/>
        </w:rPr>
        <w:t>整机方案设计</w:t>
      </w:r>
      <w:bookmarkEnd w:id="30"/>
      <w:bookmarkEnd w:id="31"/>
      <w:bookmarkStart w:id="33" w:name="_Toc18366"/>
    </w:p>
    <w:p>
      <w:pPr>
        <w:pStyle w:val="4"/>
        <w:spacing w:before="62" w:after="62"/>
      </w:pPr>
      <w:bookmarkStart w:id="34" w:name="_Toc28669"/>
      <w:bookmarkStart w:id="35" w:name="_Toc30603"/>
      <w:r>
        <w:rPr>
          <w:rFonts w:hint="eastAsia"/>
        </w:rPr>
        <w:t>方案概述</w:t>
      </w:r>
      <w:bookmarkEnd w:id="34"/>
      <w:bookmarkEnd w:id="35"/>
    </w:p>
    <w:p>
      <w:pPr>
        <w:spacing w:before="62" w:beforeLines="20" w:after="62" w:afterLines="20"/>
        <w:ind w:firstLine="420"/>
      </w:pPr>
      <w:r>
        <w:rPr>
          <w:rFonts w:hint="eastAsia"/>
        </w:rPr>
        <w:t>MS-002系统由导航台车、执行台车、操作台车和定位附件组成，如</w:t>
      </w:r>
      <w:commentRangeStart w:id="1"/>
      <w:r>
        <w:rPr>
          <w:rFonts w:hint="eastAsia"/>
        </w:rPr>
        <w:t>图1</w:t>
      </w:r>
      <w:commentRangeEnd w:id="1"/>
      <w:r>
        <w:commentReference w:id="1"/>
      </w:r>
      <w:r>
        <w:rPr>
          <w:rFonts w:hint="eastAsia"/>
        </w:rPr>
        <w:t>所示。</w:t>
      </w:r>
    </w:p>
    <w:p>
      <w:pPr>
        <w:ind w:firstLine="420"/>
      </w:pPr>
      <w:r>
        <w:rPr>
          <w:rFonts w:hint="eastAsia" w:ascii="宋体" w:hAnsi="宋体" w:cs="宋体"/>
        </w:rPr>
        <w:t>导航台车</w:t>
      </w:r>
      <w:r>
        <w:rPr>
          <w:rFonts w:hint="eastAsia"/>
        </w:rPr>
        <w:t>包含移动平台、工作站、显示器、电源模块、通信模块、双目相机、相机支架、网线、电源线。系统软件安装于工作站中，软件功能涉及患者的管理、图像数据的导入、图像渲染、数据处理、规划、配准、机械臂仿真、日志管理等功能。双目相机负责对示踪器的位姿进行跟踪，实时地将数据发送给工作站。电源模块包含隔离变压器和UPS，UPS是确保电源线意外掉落或突然停电的情况下设备可继续工作。通信模块包含交换机。</w:t>
      </w:r>
    </w:p>
    <w:p>
      <w:pPr>
        <w:ind w:firstLine="420"/>
        <w:rPr>
          <w:rFonts w:ascii="宋体" w:hAnsi="宋体" w:cs="宋体"/>
        </w:rPr>
      </w:pPr>
      <w:r>
        <w:rPr>
          <w:rFonts w:hint="eastAsia" w:ascii="宋体" w:hAnsi="宋体" w:cs="宋体"/>
        </w:rPr>
        <w:t>执行台车</w:t>
      </w:r>
      <w:r>
        <w:rPr>
          <w:rFonts w:hint="eastAsia"/>
        </w:rPr>
        <w:t>包含移动平台、机械臂、机械臂控制箱、电源模块、升降机构、脚踏、网线、电源线。根据系统软件下发的定位数据完成</w:t>
      </w:r>
      <w:r>
        <w:rPr>
          <w:rFonts w:hint="eastAsia" w:ascii="宋体" w:hAnsi="宋体" w:cs="宋体"/>
        </w:rPr>
        <w:t>术中定位导引，并能通过光学相机对患者的体位跟踪对定位进行补偿。UPS是确保</w:t>
      </w:r>
      <w:r>
        <w:rPr>
          <w:rFonts w:hint="eastAsia"/>
        </w:rPr>
        <w:t>电源线意外掉落或突然停电的情况下机械臂可正常工作，不对患者造成伤害</w:t>
      </w:r>
      <w:r>
        <w:rPr>
          <w:rFonts w:hint="eastAsia" w:ascii="宋体" w:hAnsi="宋体" w:cs="宋体"/>
        </w:rPr>
        <w:t>。</w:t>
      </w:r>
      <w:r>
        <w:rPr>
          <w:rFonts w:hint="eastAsia"/>
        </w:rPr>
        <w:t>升降机构是为了对台车进行锁定。</w:t>
      </w:r>
      <w:r>
        <w:rPr>
          <w:rFonts w:hint="eastAsia" w:ascii="宋体" w:hAnsi="宋体" w:cs="宋体"/>
        </w:rPr>
        <w:t>脚踏用于控制机械臂的运动。</w:t>
      </w:r>
    </w:p>
    <w:p>
      <w:pPr>
        <w:ind w:firstLine="420"/>
        <w:rPr>
          <w:rFonts w:ascii="宋体" w:hAnsi="宋体" w:cs="宋体"/>
        </w:rPr>
      </w:pPr>
      <w:r>
        <w:rPr>
          <w:rFonts w:hint="eastAsia"/>
        </w:rPr>
        <w:t>操作台车包含移动操作平台、显示器、收纳箱、视频线、电源线</w:t>
      </w:r>
      <w:r>
        <w:rPr>
          <w:rFonts w:hint="eastAsia" w:ascii="宋体" w:hAnsi="宋体" w:cs="宋体"/>
        </w:rPr>
        <w:t>。</w:t>
      </w:r>
    </w:p>
    <w:p>
      <w:pPr>
        <w:spacing w:before="62" w:beforeLines="20" w:after="62" w:afterLines="20"/>
        <w:ind w:firstLine="420"/>
        <w:rPr>
          <w:rFonts w:ascii="宋体" w:hAnsi="宋体" w:cs="宋体"/>
        </w:rPr>
      </w:pPr>
      <w:commentRangeStart w:id="2"/>
      <w:r>
        <w:rPr>
          <w:rFonts w:hint="eastAsia"/>
        </w:rPr>
        <w:t>定位附件含有定位器、</w:t>
      </w:r>
      <w:r>
        <w:rPr>
          <w:rFonts w:hint="eastAsia" w:ascii="宋体" w:hAnsi="宋体" w:cs="宋体"/>
          <w:color w:val="000000"/>
          <w:kern w:val="0"/>
          <w:sz w:val="18"/>
          <w:szCs w:val="18"/>
        </w:rPr>
        <w:t>固定杆φ</w:t>
      </w:r>
      <w:r>
        <w:rPr>
          <w:rFonts w:ascii="宋体" w:hAnsi="宋体" w:cs="宋体"/>
          <w:color w:val="000000"/>
          <w:kern w:val="0"/>
          <w:sz w:val="18"/>
          <w:szCs w:val="18"/>
        </w:rPr>
        <w:t>4.5</w:t>
      </w:r>
      <w:r>
        <w:rPr>
          <w:rFonts w:hint="eastAsia"/>
        </w:rPr>
        <w:t>、C臂机配准板、机械臂配准板、探针、患者示踪器、一级套筒、二级套筒</w:t>
      </w:r>
      <w:r>
        <w:rPr>
          <w:rFonts w:hint="eastAsia" w:ascii="宋体" w:hAnsi="宋体" w:cs="宋体"/>
          <w:color w:val="000000"/>
          <w:kern w:val="0"/>
          <w:sz w:val="18"/>
          <w:szCs w:val="18"/>
        </w:rPr>
        <w:t>(</w:t>
      </w:r>
      <w:r>
        <w:rPr>
          <w:rFonts w:hint="eastAsia" w:ascii="宋体" w:hAnsi="宋体" w:cs="宋体"/>
          <w:color w:val="000000"/>
          <w:w w:val="80"/>
          <w:kern w:val="0"/>
          <w:sz w:val="18"/>
          <w:szCs w:val="18"/>
        </w:rPr>
        <w:t>φ</w:t>
      </w:r>
      <w:r>
        <w:rPr>
          <w:rFonts w:ascii="宋体" w:hAnsi="宋体" w:cs="宋体"/>
          <w:color w:val="000000"/>
          <w:kern w:val="0"/>
          <w:sz w:val="18"/>
          <w:szCs w:val="18"/>
        </w:rPr>
        <w:t>2.5mm</w:t>
      </w:r>
      <w:r>
        <w:rPr>
          <w:rFonts w:ascii="宋体" w:hAnsi="宋体" w:cs="宋体"/>
          <w:color w:val="000000"/>
          <w:w w:val="80"/>
          <w:kern w:val="0"/>
          <w:sz w:val="18"/>
          <w:szCs w:val="18"/>
        </w:rPr>
        <w:t>×</w:t>
      </w:r>
      <w:r>
        <w:rPr>
          <w:rFonts w:ascii="宋体" w:hAnsi="宋体" w:cs="宋体"/>
          <w:color w:val="000000"/>
          <w:kern w:val="0"/>
          <w:sz w:val="18"/>
          <w:szCs w:val="18"/>
        </w:rPr>
        <w:t>150mm</w:t>
      </w:r>
      <w:r>
        <w:rPr>
          <w:rFonts w:hint="eastAsia" w:ascii="宋体" w:hAnsi="宋体" w:cs="宋体"/>
          <w:color w:val="000000"/>
          <w:kern w:val="0"/>
          <w:sz w:val="18"/>
          <w:szCs w:val="18"/>
        </w:rPr>
        <w:t>)</w:t>
      </w:r>
      <w:r>
        <w:rPr>
          <w:rFonts w:hint="eastAsia"/>
        </w:rPr>
        <w:t>、骨钻示踪器、标定器</w:t>
      </w:r>
      <w:commentRangeEnd w:id="2"/>
      <w:r>
        <w:commentReference w:id="2"/>
      </w:r>
      <w:r>
        <w:rPr>
          <w:rFonts w:hint="eastAsia"/>
        </w:rPr>
        <w:t>、C臂机配准板示踪器、扳手</w:t>
      </w:r>
      <w:r>
        <w:rPr>
          <w:rFonts w:hint="eastAsia" w:ascii="宋体" w:hAnsi="宋体" w:cs="宋体"/>
        </w:rPr>
        <w:t>。所有器械均是为了术中辅助完成定位导航功能。</w:t>
      </w:r>
    </w:p>
    <w:p>
      <w:pPr>
        <w:spacing w:before="62" w:beforeLines="20" w:after="62" w:afterLines="20"/>
        <w:jc w:val="both"/>
      </w:pPr>
    </w:p>
    <w:p>
      <w:pPr>
        <w:spacing w:before="62" w:beforeLines="20" w:after="62" w:afterLines="20"/>
        <w:jc w:val="both"/>
        <w:rPr>
          <w:rFonts w:ascii="Times New Roman" w:hAnsi="Times New Roman" w:cs="Times New Roman"/>
        </w:rPr>
      </w:pPr>
      <w:r>
        <w:object>
          <v:shape id="_x0000_i1025" o:spt="75" type="#_x0000_t75" style="height:226.8pt;width:419.9pt;" o:ole="t" filled="f" o:preferrelative="t" stroked="f" coordsize="21600,21600">
            <v:path/>
            <v:fill on="f" focussize="0,0"/>
            <v:stroke on="f"/>
            <v:imagedata r:id="rId14" cropbottom="8609f" o:title=""/>
            <o:lock v:ext="edit" aspectratio="f"/>
            <w10:wrap type="none"/>
            <w10:anchorlock/>
          </v:shape>
          <o:OLEObject Type="Embed" ProgID="Visio.Drawing.15" ShapeID="_x0000_i1025" DrawAspect="Content" ObjectID="_1468075725" r:id="rId13">
            <o:LockedField>false</o:LockedField>
          </o:OLEObject>
        </w:object>
      </w:r>
    </w:p>
    <w:p>
      <w:pPr>
        <w:jc w:val="center"/>
      </w:pPr>
      <w:r>
        <w:rPr>
          <w:rFonts w:hint="eastAsia"/>
        </w:rPr>
        <w:t>图1 系统组成示意图</w:t>
      </w:r>
    </w:p>
    <w:p>
      <w:pPr>
        <w:pStyle w:val="4"/>
        <w:spacing w:before="62" w:after="62"/>
      </w:pPr>
      <w:bookmarkStart w:id="36" w:name="_Toc23180"/>
      <w:bookmarkStart w:id="37" w:name="_Toc13626"/>
      <w:r>
        <w:rPr>
          <w:rFonts w:hint="eastAsia"/>
        </w:rPr>
        <w:t>坐标统一原理</w:t>
      </w:r>
      <w:bookmarkEnd w:id="36"/>
      <w:bookmarkEnd w:id="37"/>
    </w:p>
    <w:p>
      <w:pPr>
        <w:ind w:firstLine="420"/>
        <w:rPr>
          <w:szCs w:val="21"/>
        </w:rPr>
      </w:pPr>
      <w:r>
        <w:rPr>
          <w:rFonts w:hint="eastAsia"/>
        </w:rPr>
        <w:t>导航定位系统的工作原理为通过空间映射找到配准图像坐标系与患者坐标系的变换关系；并在配准图像坐标系中基于图像规划入针点和出针点，以形成进针路线；通过变换关系可将配准图像坐标系中的进针路线转换到患者坐标系中，手术路径定位控制机械臂到达预定的患者坐标系的规划位置，辅助医师进行手术器械或植入物的定位。</w:t>
      </w:r>
    </w:p>
    <w:p>
      <w:pPr>
        <w:ind w:firstLine="420"/>
      </w:pPr>
      <w:r>
        <w:rPr>
          <w:rFonts w:hint="eastAsia"/>
        </w:rPr>
        <w:t>导航定位系统的工作基础是各个坐标系的统一，本系统涉及的坐标系有双目视觉坐标系、CT坐标系、X光图像坐标系、机械臂基座坐标系、机械臂法兰坐标系、通道坐标系、机械臂示踪器坐标系、患者示踪器坐标系、探针坐标系、配准板坐标系、手术器械坐标系、标定器坐标系。</w:t>
      </w:r>
    </w:p>
    <w:p>
      <w:pPr>
        <w:ind w:firstLine="420"/>
      </w:pPr>
      <w:r>
        <w:rPr>
          <w:rFonts w:hint="eastAsia"/>
        </w:rPr>
        <w:t>本系统中双目视觉坐标系作为世界坐标系，其他所有部件均转化到该坐标系下进行统一。</w:t>
      </w:r>
    </w:p>
    <w:p>
      <w:pPr>
        <w:ind w:firstLine="420"/>
      </w:pPr>
      <w:r>
        <w:rPr>
          <w:rFonts w:hint="eastAsia"/>
        </w:rPr>
        <w:t>双目视觉系统可直接追踪到的坐标系有患者示踪器坐标系、配准板坐标系、机械臂示踪器坐标系、探针坐标系和手术器械坐标系，因此这些坐标系通过双目视觉系统识别的姿态数据得到与双目视觉坐标系的变换关系。</w:t>
      </w:r>
    </w:p>
    <w:p>
      <w:pPr>
        <w:ind w:firstLine="420"/>
      </w:pPr>
      <w:r>
        <w:rPr>
          <w:rFonts w:hint="eastAsia"/>
        </w:rPr>
        <w:t>透视X光图像时，配准板会放置在成像范围内，配准板上的钢球会在图中显影，通过识别二维图像中的钢球坐标，并与配准板坐标系中的三维钢球坐标进行配准注册，即可获得X光图像坐标系和配准板坐标系的变换关系。结合配准板坐标系和双目视觉坐标系的变换关系，又可得到X光图像坐标系和双目视觉坐标系的变换关系。</w:t>
      </w:r>
    </w:p>
    <w:p>
      <w:pPr>
        <w:ind w:firstLine="420"/>
      </w:pPr>
      <w:r>
        <w:rPr>
          <w:rFonts w:hint="eastAsia"/>
        </w:rPr>
        <w:t>多个X光图像坐标系和双目视觉坐标系的变换关系，可得到多张X光图像间的变换关系。用多张X光图像与CT进行配准，即可得到X光图像坐标系和CT坐标系的变换关系，进而得到CT坐标系和双目视觉坐标系的变换关系。</w:t>
      </w:r>
    </w:p>
    <w:p>
      <w:pPr>
        <w:ind w:firstLine="420"/>
      </w:pPr>
      <w:r>
        <w:rPr>
          <w:rFonts w:hint="eastAsia"/>
        </w:rPr>
        <w:t>机械臂示踪器坐标系和机械臂法兰坐标系的变换关系通过手眼标定方法得到。机械臂基座坐标系和机械臂法兰坐标系的变换关系通过机械臂的姿态数据转换得到。通道坐标系和机械臂示踪器坐标系的变换关系通过将探针放入通道内，同时捕捉探针和机械臂示踪器在双目视觉坐标系中的姿态数据，计算两者间的转换关系获得。</w:t>
      </w:r>
    </w:p>
    <w:p>
      <w:pPr>
        <w:ind w:firstLine="420"/>
      </w:pPr>
      <w:r>
        <w:rPr>
          <w:rFonts w:hint="eastAsia"/>
        </w:rPr>
        <w:t>标定器是为了标定探针或手术器械的针尖和轴向数据，将探针或手术器械放置在标定器的特定位置，同时捕捉探针和标定器在双目视觉坐标系的姿态数据，将标定器坐标系中的数据转化到探针或手术器械坐标系中，即可完成标定。</w:t>
      </w:r>
    </w:p>
    <w:p>
      <w:pPr>
        <w:ind w:firstLine="420"/>
      </w:pPr>
      <w:r>
        <w:rPr>
          <w:rFonts w:hint="eastAsia"/>
        </w:rPr>
        <w:t>系统坐标统一的原理示意图如图2所示：</w:t>
      </w:r>
    </w:p>
    <w:p>
      <w:pPr>
        <w:jc w:val="both"/>
      </w:pPr>
      <w:r>
        <w:rPr>
          <w:rFonts w:hint="eastAsia"/>
        </w:rPr>
        <w:object>
          <v:shape id="_x0000_i1026" o:spt="75" type="#_x0000_t75" style="height:375.05pt;width:378.15pt;" o:ole="t" filled="f" o:preferrelative="t" stroked="f" coordsize="21600,21600">
            <v:path/>
            <v:fill on="f" focussize="0,0"/>
            <v:stroke on="f" joinstyle="miter"/>
            <v:imagedata r:id="rId16" o:title=""/>
            <o:lock v:ext="edit" aspectratio="f"/>
            <w10:wrap type="none"/>
            <w10:anchorlock/>
          </v:shape>
          <o:OLEObject Type="Embed" ProgID="Visio.Drawing.15" ShapeID="_x0000_i1026" DrawAspect="Content" ObjectID="_1468075726" r:id="rId15">
            <o:LockedField>false</o:LockedField>
          </o:OLEObject>
        </w:object>
      </w:r>
    </w:p>
    <w:p>
      <w:pPr>
        <w:jc w:val="center"/>
      </w:pPr>
      <w:r>
        <w:rPr>
          <w:rFonts w:hint="eastAsia"/>
        </w:rPr>
        <w:t>图2 坐标统一原理示意图</w:t>
      </w:r>
    </w:p>
    <w:p>
      <w:r>
        <w:rPr>
          <w:rFonts w:hint="eastAsia"/>
        </w:rPr>
        <w:br w:type="page"/>
      </w:r>
    </w:p>
    <w:p>
      <w:pPr>
        <w:pStyle w:val="4"/>
        <w:spacing w:before="62" w:after="62"/>
      </w:pPr>
      <w:bookmarkStart w:id="38" w:name="_Toc18744"/>
      <w:bookmarkStart w:id="39" w:name="_Toc11658"/>
      <w:r>
        <w:rPr>
          <w:rFonts w:hint="eastAsia"/>
        </w:rPr>
        <w:t>工作流程</w:t>
      </w:r>
      <w:bookmarkEnd w:id="38"/>
      <w:bookmarkEnd w:id="39"/>
    </w:p>
    <w:p>
      <w:pPr>
        <w:ind w:firstLine="420"/>
      </w:pPr>
      <w:r>
        <w:rPr>
          <w:rFonts w:hint="eastAsia"/>
        </w:rPr>
        <w:t>系统的工作流程如图3所示，软件流程如图4所示。</w:t>
      </w:r>
    </w:p>
    <w:p>
      <w:pPr>
        <w:spacing w:before="62" w:beforeLines="20" w:after="62" w:afterLines="20"/>
        <w:jc w:val="both"/>
      </w:pPr>
    </w:p>
    <w:p>
      <w:pPr>
        <w:pStyle w:val="2"/>
        <w:spacing w:before="62" w:beforeLines="20" w:after="62" w:afterLines="20"/>
        <w:ind w:left="1470" w:right="1470"/>
        <w:jc w:val="center"/>
        <w:rPr>
          <w:rFonts w:ascii="宋体" w:hAnsi="宋体" w:cs="宋体"/>
        </w:rPr>
      </w:pPr>
      <w:r>
        <w:object>
          <v:shape id="_x0000_i1027" o:spt="75" type="#_x0000_t75" style="height:698.25pt;width:358.95pt;" o:ole="t" filled="f" o:preferrelative="t" stroked="f" coordsize="21600,21600">
            <v:path/>
            <v:fill on="f" focussize="0,0"/>
            <v:stroke on="f" joinstyle="miter"/>
            <v:imagedata r:id="rId18" o:title=""/>
            <o:lock v:ext="edit" aspectratio="f"/>
            <w10:wrap type="none"/>
            <w10:anchorlock/>
          </v:shape>
          <o:OLEObject Type="Embed" ProgID="Visio.Drawing.15" ShapeID="_x0000_i1027" DrawAspect="Content" ObjectID="_1468075727" r:id="rId17">
            <o:LockedField>false</o:LockedField>
          </o:OLEObject>
        </w:object>
      </w:r>
    </w:p>
    <w:p>
      <w:pPr>
        <w:spacing w:before="62" w:beforeLines="20" w:after="62" w:afterLines="20"/>
        <w:jc w:val="center"/>
      </w:pPr>
      <w:r>
        <w:rPr>
          <w:rFonts w:hint="eastAsia"/>
        </w:rPr>
        <w:t>图3 系统工作流程图</w:t>
      </w:r>
    </w:p>
    <w:p>
      <w:pPr>
        <w:spacing w:before="62" w:beforeLines="20" w:after="62" w:afterLines="20"/>
        <w:jc w:val="center"/>
        <w:rPr>
          <w:rFonts w:ascii="宋体" w:hAnsi="宋体" w:cs="宋体"/>
        </w:rPr>
      </w:pPr>
      <w:r>
        <w:object>
          <v:shape id="_x0000_i1028" o:spt="75" type="#_x0000_t75" style="height:444.15pt;width:415.15pt;" o:ole="t" filled="f" o:preferrelative="t" stroked="f" coordsize="21600,21600">
            <v:path/>
            <v:fill on="f" focussize="0,0"/>
            <v:stroke on="f" joinstyle="miter"/>
            <v:imagedata r:id="rId20" o:title=""/>
            <o:lock v:ext="edit" aspectratio="f"/>
            <w10:wrap type="none"/>
            <w10:anchorlock/>
          </v:shape>
          <o:OLEObject Type="Embed" ProgID="Visio.Drawing.15" ShapeID="_x0000_i1028" DrawAspect="Content" ObjectID="_1468075728" r:id="rId19">
            <o:LockedField>false</o:LockedField>
          </o:OLEObject>
        </w:object>
      </w:r>
      <w:r>
        <w:rPr>
          <w:rFonts w:hint="eastAsia" w:ascii="宋体" w:hAnsi="宋体" w:cs="宋体"/>
        </w:rPr>
        <w:t>图4 软件工作流程图</w:t>
      </w:r>
    </w:p>
    <w:p>
      <w:pPr>
        <w:jc w:val="both"/>
      </w:pPr>
      <w:r>
        <w:object>
          <v:shape id="_x0000_i1029" o:spt="75" type="#_x0000_t75" style="height:283pt;width:415.1pt;" o:ole="t" filled="f" o:preferrelative="t" stroked="f" coordsize="21600,21600">
            <v:path/>
            <v:fill on="f" focussize="0,0"/>
            <v:stroke on="f" joinstyle="miter"/>
            <v:imagedata r:id="rId22" o:title=""/>
            <o:lock v:ext="edit" aspectratio="f"/>
            <w10:wrap type="none"/>
            <w10:anchorlock/>
          </v:shape>
          <o:OLEObject Type="Embed" ProgID="Visio.Drawing.15" ShapeID="_x0000_i1029" DrawAspect="Content" ObjectID="_1468075729" r:id="rId21">
            <o:LockedField>false</o:LockedField>
          </o:OLEObject>
        </w:object>
      </w:r>
    </w:p>
    <w:p>
      <w:pPr>
        <w:spacing w:before="62" w:beforeLines="20" w:after="62" w:afterLines="20"/>
        <w:jc w:val="center"/>
      </w:pPr>
      <w:r>
        <w:rPr>
          <w:rFonts w:hint="eastAsia"/>
        </w:rPr>
        <w:t>图5 系统数据流图</w:t>
      </w:r>
    </w:p>
    <w:p>
      <w:pPr>
        <w:ind w:firstLine="420" w:firstLineChars="0"/>
      </w:pPr>
      <w:r>
        <w:rPr>
          <w:rFonts w:hint="eastAsia"/>
        </w:rPr>
        <w:t>系统中的主要数据流如图5所示，主要包括术前CT数据，术中X光图像数据，示踪器的姿态数据，机械臂姿态数据，脚踏数据和交互数据等。在系统运行过程中会生成并保存CT处理数据、规划数据、配准数据、操作数据、日志等过程数据。</w:t>
      </w:r>
    </w:p>
    <w:p>
      <w:pPr>
        <w:pStyle w:val="4"/>
        <w:spacing w:before="62" w:after="62"/>
      </w:pPr>
      <w:bookmarkStart w:id="40" w:name="_Toc5038"/>
      <w:r>
        <w:rPr>
          <w:rFonts w:hint="eastAsia"/>
        </w:rPr>
        <w:t>软件安全级别</w:t>
      </w:r>
      <w:bookmarkEnd w:id="40"/>
    </w:p>
    <w:p>
      <w:pPr>
        <w:ind w:firstLine="420" w:firstLineChars="0"/>
      </w:pPr>
      <w:bookmarkStart w:id="41" w:name="_Toc8097"/>
      <w:r>
        <w:rPr>
          <w:rFonts w:hint="eastAsia"/>
        </w:rPr>
        <w:t>根据YY/T1406.1-2016本产品软件的安全级别为Class</w:t>
      </w:r>
      <w:r>
        <w:t>C</w:t>
      </w:r>
      <w:r>
        <w:rPr>
          <w:rFonts w:hint="eastAsia"/>
        </w:rPr>
        <w:t>。</w:t>
      </w:r>
      <w:bookmarkEnd w:id="41"/>
    </w:p>
    <w:p>
      <w:pPr>
        <w:ind w:firstLine="420" w:firstLineChars="0"/>
      </w:pPr>
      <w:bookmarkStart w:id="42" w:name="_Toc18996"/>
      <w:r>
        <w:rPr>
          <w:rFonts w:hint="eastAsia"/>
        </w:rPr>
        <w:t>软件系统可能促成导致不可接受风险的危险情况，且导致的可能伤害是严重损伤。</w:t>
      </w:r>
      <w:r>
        <w:rPr>
          <w:rFonts w:hint="eastAsia"/>
        </w:rPr>
        <w:br w:type="page"/>
      </w:r>
      <w:bookmarkEnd w:id="42"/>
    </w:p>
    <w:p>
      <w:pPr>
        <w:pStyle w:val="3"/>
        <w:spacing w:before="62" w:after="62" w:line="360" w:lineRule="auto"/>
      </w:pPr>
      <w:bookmarkStart w:id="43" w:name="_Toc30423"/>
      <w:bookmarkStart w:id="44" w:name="_Toc2681"/>
      <w:r>
        <w:rPr>
          <w:rFonts w:hint="eastAsia"/>
        </w:rPr>
        <w:t>组件设计方案</w:t>
      </w:r>
      <w:bookmarkEnd w:id="43"/>
      <w:bookmarkEnd w:id="44"/>
    </w:p>
    <w:p>
      <w:pPr>
        <w:pStyle w:val="4"/>
        <w:spacing w:before="62" w:after="62"/>
      </w:pPr>
      <w:bookmarkStart w:id="45" w:name="_Toc10018"/>
      <w:bookmarkStart w:id="46" w:name="_Toc13055"/>
      <w:r>
        <w:rPr>
          <w:rFonts w:hint="eastAsia"/>
        </w:rPr>
        <w:t>导航台车设计</w:t>
      </w:r>
      <w:bookmarkEnd w:id="45"/>
      <w:bookmarkEnd w:id="46"/>
    </w:p>
    <w:p>
      <w:pPr>
        <w:ind w:firstLine="420"/>
        <w:jc w:val="both"/>
      </w:pPr>
      <w:r>
        <w:rPr>
          <w:rFonts w:hint="eastAsia"/>
        </w:rPr>
        <w:t>导航台车的主要部件有移动平台、双目相机、显示器、工作站、系统软件、UPS、交换机。</w:t>
      </w:r>
    </w:p>
    <w:p>
      <w:pPr>
        <w:ind w:firstLine="420"/>
      </w:pPr>
      <w:r>
        <w:rPr>
          <w:rFonts w:hint="eastAsia"/>
        </w:rPr>
        <w:t>导航台车的主体是工作站、双目相机和显示器，系统软件安装于工作站中。双目相机通过悬臂安装于台车上，相机的最佳工作高度为1.8米-2.0米，显示器可旋转，中心的最佳工作高度为1.5米。系统采用AC 220V电源供电，连接UPS对工作站供电。双目相机与工作站通过网线连接，具备数据传输和供电功能。CT数据的导入以及设备数据的导出采用USB或光驱两种数据读写方式。导航台车、执行台车和C臂机通过交换机形成网络通信。导航台车有视频接口，为操作台车提供视频信号。导航台车的原理框图如下所示：</w:t>
      </w:r>
    </w:p>
    <w:p>
      <w:pPr>
        <w:jc w:val="both"/>
      </w:pPr>
      <w:r>
        <w:object>
          <v:shape id="_x0000_i1030" o:spt="75" type="#_x0000_t75" style="height:370.85pt;width:362pt;" o:ole="t" filled="f" o:preferrelative="t" stroked="f" coordsize="21600,21600">
            <v:path/>
            <v:fill on="f" focussize="0,0"/>
            <v:stroke on="f" joinstyle="miter"/>
            <v:imagedata r:id="rId24" o:title=""/>
            <o:lock v:ext="edit" aspectratio="f"/>
            <w10:wrap type="none"/>
            <w10:anchorlock/>
          </v:shape>
          <o:OLEObject Type="Embed" ProgID="Visio.Drawing.15" ShapeID="_x0000_i1030" DrawAspect="Content" ObjectID="_1468075730" r:id="rId23">
            <o:LockedField>false</o:LockedField>
          </o:OLEObject>
        </w:object>
      </w:r>
    </w:p>
    <w:p>
      <w:pPr>
        <w:jc w:val="center"/>
      </w:pPr>
      <w:r>
        <w:rPr>
          <w:rFonts w:hint="eastAsia"/>
        </w:rPr>
        <w:t>图6导航台车原理框图</w:t>
      </w:r>
    </w:p>
    <w:p>
      <w:pPr>
        <w:ind w:firstLine="420"/>
      </w:pPr>
      <w:r>
        <w:rPr>
          <w:rFonts w:hint="eastAsia" w:ascii="宋体" w:hAnsi="宋体" w:cs="宋体"/>
        </w:rPr>
        <w:t>导航</w:t>
      </w:r>
      <w:r>
        <w:rPr>
          <w:rFonts w:hint="eastAsia"/>
        </w:rPr>
        <w:t>台车的系统软件实现了系统控制、</w:t>
      </w:r>
      <w:r>
        <w:t>手术规划、</w:t>
      </w:r>
      <w:r>
        <w:rPr>
          <w:rFonts w:hint="eastAsia"/>
        </w:rPr>
        <w:t>通道计算</w:t>
      </w:r>
      <w:r>
        <w:t>、工具导航、体位监测和</w:t>
      </w:r>
      <w:r>
        <w:rPr>
          <w:rFonts w:hint="eastAsia"/>
        </w:rPr>
        <w:t>定位</w:t>
      </w:r>
      <w:r>
        <w:t>补偿</w:t>
      </w:r>
      <w:r>
        <w:rPr>
          <w:rFonts w:hint="eastAsia"/>
        </w:rPr>
        <w:t>。</w:t>
      </w:r>
    </w:p>
    <w:p>
      <w:pPr>
        <w:ind w:firstLine="420"/>
      </w:pPr>
      <w:r>
        <w:rPr>
          <w:rFonts w:hint="eastAsia"/>
        </w:rPr>
        <w:t>台车的按钮包含1.电源开关，电源开关打开后设备通电，关闭后设备断电；2.系统开关，打开后工作站、显示器、双目相机同时开机，再次按压工作站、显示器、双目相机关闭。</w:t>
      </w:r>
    </w:p>
    <w:p>
      <w:pPr>
        <w:ind w:firstLine="420"/>
        <w:rPr>
          <w:rFonts w:cs="宋体"/>
          <w:szCs w:val="21"/>
        </w:rPr>
      </w:pPr>
      <w:r>
        <w:rPr>
          <w:rFonts w:hint="eastAsia"/>
        </w:rPr>
        <w:t>台车指示灯包含电源指示灯、UPS充电状态指示灯、供电状态指示灯、系统开关状态指示灯。供电状态指示灯不亮表示</w:t>
      </w:r>
      <w:r>
        <w:rPr>
          <w:rFonts w:hint="eastAsia" w:cs="宋体"/>
          <w:szCs w:val="21"/>
        </w:rPr>
        <w:t>电源开关关闭，蓝色表示正常供电，黄色表示UPS供电。系统打开时</w:t>
      </w:r>
      <w:r>
        <w:rPr>
          <w:rFonts w:hint="eastAsia"/>
        </w:rPr>
        <w:t>系统开关状态指示灯单色常亮，关闭时灯灭。</w:t>
      </w:r>
    </w:p>
    <w:p>
      <w:pPr>
        <w:ind w:firstLine="420"/>
      </w:pPr>
      <w:r>
        <w:rPr>
          <w:rFonts w:hint="eastAsia"/>
        </w:rPr>
        <w:t>系统在开机状态下电源掉电时，由UPS进行供电，供电时间不少于5分钟，此时电源指示灯熄灭，供电状态指示灯由蓝色转为黄色。</w:t>
      </w:r>
    </w:p>
    <w:p>
      <w:pPr>
        <w:pStyle w:val="4"/>
        <w:spacing w:before="62" w:after="62"/>
      </w:pPr>
      <w:bookmarkStart w:id="47" w:name="_Toc6138"/>
      <w:bookmarkStart w:id="48" w:name="_Toc22953"/>
      <w:r>
        <w:rPr>
          <w:rFonts w:hint="eastAsia"/>
        </w:rPr>
        <w:t>执行台车设计</w:t>
      </w:r>
      <w:bookmarkEnd w:id="47"/>
      <w:bookmarkEnd w:id="48"/>
    </w:p>
    <w:p>
      <w:pPr>
        <w:ind w:firstLine="420"/>
        <w:jc w:val="both"/>
      </w:pPr>
      <w:r>
        <w:rPr>
          <w:rFonts w:hint="eastAsia"/>
        </w:rPr>
        <w:t>执行台车的主要部件有移动平台、机械臂本体、机械臂控制箱、末端控制器、UPS、交换机、升降机构、脚踏等。</w:t>
      </w:r>
    </w:p>
    <w:p>
      <w:pPr>
        <w:ind w:firstLine="420" w:firstLineChars="0"/>
      </w:pPr>
      <w:r>
        <w:rPr>
          <w:rFonts w:hint="eastAsia"/>
        </w:rPr>
        <w:t>末端控制器安装于机械臂法兰端，是机械臂的一部分，设置有绝缘层用于定位器和机械臂本体间的电气隔离。末端控制器设置有灯带，用于显示机械臂的工作状态，由机械臂供电和提供状态信号，还设置有上升，下降，左旋，右旋四个按键，控制机械臂沿着通道轴线运动。末端控制器的转接法兰与定位器连接使用，两者之间采用快速拆装设计，且需要保证每次安装的一致性。</w:t>
      </w:r>
    </w:p>
    <w:p>
      <w:pPr>
        <w:ind w:firstLine="420"/>
      </w:pPr>
      <w:r>
        <w:rPr>
          <w:rFonts w:hint="eastAsia"/>
        </w:rPr>
        <w:t>执行台车的按钮包含1.电源开关，电源开关打开后设备通电，关闭后设备断电；2.系统开关，按压后机械臂上电，再次按压后机械臂下电；3.台车升按钮和台车降按钮，控制升降脚撑的运动，按住按钮时按钮指示灯常亮，松开后灯灭；4.自由拖动按钮，按压后机械臂切换到自由拖动模式，按钮指示灯常亮，未踩脚踏或脚踏松开10秒后切换为待机模式，按钮指示灯常灭；5.急停按钮，按压后机械臂停止工作。</w:t>
      </w:r>
    </w:p>
    <w:p>
      <w:pPr>
        <w:ind w:firstLine="420"/>
      </w:pPr>
      <w:r>
        <w:rPr>
          <w:rFonts w:hint="eastAsia"/>
        </w:rPr>
        <w:t>执行台车在移动状态下脚撑收起，靠脚轮移动，通过把手可被自由推动。在执行状态通过台车升按钮放下脚撑，锁定整个台车，台车无法被推动。需要移动时再通过台车降按钮收回脚撑。存放时脚撑处于收起状态，锁定脚轮。</w:t>
      </w:r>
    </w:p>
    <w:p>
      <w:pPr>
        <w:ind w:firstLine="420"/>
      </w:pPr>
      <w:r>
        <w:rPr>
          <w:rFonts w:hint="eastAsia"/>
        </w:rPr>
        <w:t>执行台车与导航台车网络连接，在接收到定位指令后，在脚踏开关被踩住的状态下机械臂运动。其他情况下，在与导航台车通信连接正常时有数据传输，相关数据可在系统软件显示，且机械臂可被系统软件控制。</w:t>
      </w:r>
    </w:p>
    <w:p>
      <w:pPr>
        <w:ind w:firstLine="420"/>
      </w:pPr>
      <w:r>
        <w:rPr>
          <w:rFonts w:hint="eastAsia"/>
        </w:rPr>
        <w:t>脚踏与机械臂控制箱进行信号传输，脚踏的状态信号通过网络传递给导航台车的工作站。脚踏为双脚踏，一个是自由拖动脚踏，另一个是主动定位脚踏，未踩脚踏时，机械臂无法运动。台车兼容有线脚踏和无线脚踏。</w:t>
      </w:r>
    </w:p>
    <w:p>
      <w:pPr>
        <w:ind w:firstLine="420"/>
      </w:pPr>
      <w:r>
        <w:rPr>
          <w:rFonts w:hint="eastAsia"/>
        </w:rPr>
        <w:t>执行台车工作时法兰上有灯光提示当前的工作状态，灯光主要分以下几种状态：</w:t>
      </w:r>
    </w:p>
    <w:tbl>
      <w:tblPr>
        <w:tblStyle w:val="12"/>
        <w:tblW w:w="82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24"/>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 w:hRule="atLeast"/>
          <w:jc w:val="center"/>
        </w:trPr>
        <w:tc>
          <w:tcPr>
            <w:tcW w:w="4024" w:type="dxa"/>
            <w:tcBorders>
              <w:top w:val="single" w:color="000000" w:sz="4" w:space="0"/>
              <w:left w:val="single" w:color="000000" w:sz="4" w:space="0"/>
              <w:bottom w:val="single" w:color="000000" w:sz="4" w:space="0"/>
              <w:right w:val="single" w:color="000000" w:sz="4" w:space="0"/>
            </w:tcBorders>
            <w:shd w:val="clear" w:color="auto" w:fill="E4E4E4"/>
          </w:tcPr>
          <w:p>
            <w:pPr>
              <w:pStyle w:val="16"/>
              <w:adjustRightInd/>
              <w:snapToGrid/>
              <w:jc w:val="left"/>
            </w:pPr>
            <w:r>
              <w:rPr>
                <w:rFonts w:hint="eastAsia"/>
              </w:rPr>
              <w:t>颜色</w:t>
            </w:r>
          </w:p>
        </w:tc>
        <w:tc>
          <w:tcPr>
            <w:tcW w:w="4261" w:type="dxa"/>
            <w:tcBorders>
              <w:top w:val="single" w:color="000000" w:sz="4" w:space="0"/>
              <w:left w:val="single" w:color="000000" w:sz="4" w:space="0"/>
              <w:bottom w:val="single" w:color="000000" w:sz="4" w:space="0"/>
              <w:right w:val="single" w:color="000000" w:sz="4" w:space="0"/>
            </w:tcBorders>
            <w:shd w:val="clear" w:color="auto" w:fill="E4E4E4"/>
          </w:tcPr>
          <w:p>
            <w:pPr>
              <w:pStyle w:val="16"/>
              <w:adjustRightInd/>
              <w:snapToGrid/>
              <w:jc w:val="left"/>
            </w:pPr>
            <w:r>
              <w:rPr>
                <w:rFonts w:hint="eastAsia"/>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 w:hRule="atLeast"/>
          <w:jc w:val="center"/>
        </w:trPr>
        <w:tc>
          <w:tcPr>
            <w:tcW w:w="4024"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灯光不亮</w:t>
            </w:r>
          </w:p>
        </w:tc>
        <w:tc>
          <w:tcPr>
            <w:tcW w:w="4261"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机械臂掉电、按下急停按钮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 w:hRule="atLeast"/>
          <w:jc w:val="center"/>
        </w:trPr>
        <w:tc>
          <w:tcPr>
            <w:tcW w:w="4024"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蓝色闪烁</w:t>
            </w:r>
          </w:p>
        </w:tc>
        <w:tc>
          <w:tcPr>
            <w:tcW w:w="4261"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机械臂运动中、自由拖动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 w:hRule="atLeast"/>
          <w:jc w:val="center"/>
        </w:trPr>
        <w:tc>
          <w:tcPr>
            <w:tcW w:w="4024"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蓝色常亮</w:t>
            </w:r>
          </w:p>
        </w:tc>
        <w:tc>
          <w:tcPr>
            <w:tcW w:w="4261"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待机状态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4024"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绿色常亮</w:t>
            </w:r>
          </w:p>
        </w:tc>
        <w:tc>
          <w:tcPr>
            <w:tcW w:w="4261"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定位就绪（精度达到1.5mm以内）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4024"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黄色常亮</w:t>
            </w:r>
          </w:p>
        </w:tc>
        <w:tc>
          <w:tcPr>
            <w:tcW w:w="4261" w:type="dxa"/>
            <w:tcBorders>
              <w:top w:val="single" w:color="000000" w:sz="4" w:space="0"/>
              <w:left w:val="single" w:color="000000" w:sz="4" w:space="0"/>
              <w:bottom w:val="single" w:color="000000" w:sz="4" w:space="0"/>
              <w:right w:val="single" w:color="000000" w:sz="4" w:space="0"/>
            </w:tcBorders>
            <w:vAlign w:val="center"/>
          </w:tcPr>
          <w:p>
            <w:pPr>
              <w:pStyle w:val="16"/>
              <w:adjustRightInd/>
              <w:snapToGrid/>
              <w:jc w:val="left"/>
            </w:pPr>
            <w:r>
              <w:rPr>
                <w:rFonts w:hint="eastAsia"/>
              </w:rPr>
              <w:t>机械臂运动中套筒示踪器不可见</w:t>
            </w:r>
          </w:p>
        </w:tc>
      </w:tr>
    </w:tbl>
    <w:p>
      <w:pPr>
        <w:ind w:firstLine="420"/>
      </w:pPr>
      <w:r>
        <w:rPr>
          <w:rFonts w:hint="eastAsia"/>
        </w:rPr>
        <w:t>执行台车的工具安装接口位于机械臂法兰是一种快拆装置，并且需要做相应的电气隔离。</w:t>
      </w:r>
    </w:p>
    <w:p>
      <w:pPr>
        <w:ind w:firstLine="420"/>
      </w:pPr>
      <w:r>
        <w:rPr>
          <w:rFonts w:hint="eastAsia"/>
        </w:rPr>
        <w:t>执行台车原理框图如下所示：</w:t>
      </w:r>
    </w:p>
    <w:p>
      <w:pPr>
        <w:jc w:val="both"/>
      </w:pPr>
      <w:r>
        <w:rPr>
          <w:rFonts w:hint="eastAsia"/>
        </w:rPr>
        <w:object>
          <v:shape id="_x0000_i1031" o:spt="75" type="#_x0000_t75" style="height:285.05pt;width:395.95pt;" o:ole="t" filled="f" o:preferrelative="t" stroked="f" coordsize="21600,21600">
            <v:path/>
            <v:fill on="f" focussize="0,0"/>
            <v:stroke on="f" joinstyle="miter"/>
            <v:imagedata r:id="rId26" o:title=""/>
            <o:lock v:ext="edit" aspectratio="f"/>
            <w10:wrap type="none"/>
            <w10:anchorlock/>
          </v:shape>
          <o:OLEObject Type="Embed" ProgID="Visio.Drawing.15" ShapeID="_x0000_i1031" DrawAspect="Content" ObjectID="_1468075731" r:id="rId25">
            <o:LockedField>false</o:LockedField>
          </o:OLEObject>
        </w:object>
      </w:r>
    </w:p>
    <w:p>
      <w:pPr>
        <w:jc w:val="both"/>
      </w:pPr>
      <w:r>
        <w:rPr>
          <w:rFonts w:hint="eastAsia"/>
        </w:rPr>
        <w:object>
          <v:shape id="_x0000_i1032" o:spt="75" type="#_x0000_t75" style="height:288.15pt;width:380.1pt;" o:ole="t" filled="f" o:preferrelative="t" stroked="f" coordsize="21600,21600">
            <v:path/>
            <v:fill on="f" focussize="0,0"/>
            <v:stroke on="f" joinstyle="miter"/>
            <v:imagedata r:id="rId28" o:title=""/>
            <o:lock v:ext="edit" aspectratio="f"/>
            <w10:wrap type="none"/>
            <w10:anchorlock/>
          </v:shape>
          <o:OLEObject Type="Embed" ProgID="Visio.Drawing.15" ShapeID="_x0000_i1032" DrawAspect="Content" ObjectID="_1468075732" r:id="rId27">
            <o:LockedField>false</o:LockedField>
          </o:OLEObject>
        </w:object>
      </w:r>
    </w:p>
    <w:p>
      <w:pPr>
        <w:jc w:val="center"/>
      </w:pPr>
      <w:r>
        <w:rPr>
          <w:rFonts w:hint="eastAsia"/>
        </w:rPr>
        <w:t>图7 执行台车原理框图</w:t>
      </w:r>
    </w:p>
    <w:p>
      <w:pPr>
        <w:pStyle w:val="4"/>
        <w:spacing w:before="62" w:after="62"/>
      </w:pPr>
      <w:bookmarkStart w:id="49" w:name="_Toc5558"/>
      <w:bookmarkStart w:id="50" w:name="_Toc21291"/>
      <w:r>
        <w:rPr>
          <w:rFonts w:hint="eastAsia"/>
        </w:rPr>
        <w:t>操作台车设计</w:t>
      </w:r>
      <w:bookmarkEnd w:id="49"/>
      <w:bookmarkEnd w:id="50"/>
    </w:p>
    <w:p>
      <w:pPr>
        <w:ind w:firstLine="420"/>
        <w:jc w:val="both"/>
      </w:pPr>
      <w:r>
        <w:rPr>
          <w:rFonts w:hint="eastAsia"/>
        </w:rPr>
        <w:t>操作台车的主要部件有移动操作平台、显示器、收纳箱等。有视频接口，用于连接视频线。台车上有操作台，可放置键盘和鼠标。收纳箱用于收纳C臂机配准板。</w:t>
      </w:r>
    </w:p>
    <w:p>
      <w:pPr>
        <w:jc w:val="both"/>
      </w:pPr>
      <w:r>
        <w:object>
          <v:shape id="_x0000_i1033" o:spt="75" type="#_x0000_t75" style="height:197.05pt;width:263.95pt;" o:ole="t" filled="f" o:preferrelative="t" stroked="f" coordsize="21600,21600">
            <v:path/>
            <v:fill on="f" focussize="0,0"/>
            <v:stroke on="f" joinstyle="miter"/>
            <v:imagedata r:id="rId30" o:title=""/>
            <o:lock v:ext="edit" aspectratio="f"/>
            <w10:wrap type="none"/>
            <w10:anchorlock/>
          </v:shape>
          <o:OLEObject Type="Embed" ProgID="Visio.Drawing.15" ShapeID="_x0000_i1033" DrawAspect="Content" ObjectID="_1468075733" r:id="rId29">
            <o:LockedField>false</o:LockedField>
          </o:OLEObject>
        </w:object>
      </w:r>
    </w:p>
    <w:p>
      <w:pPr>
        <w:jc w:val="center"/>
      </w:pPr>
      <w:r>
        <w:rPr>
          <w:rFonts w:hint="eastAsia"/>
        </w:rPr>
        <w:t>图8 操作台车原理框图</w:t>
      </w:r>
    </w:p>
    <w:p>
      <w:pPr>
        <w:pStyle w:val="4"/>
        <w:spacing w:before="62" w:after="62"/>
      </w:pPr>
      <w:bookmarkStart w:id="51" w:name="_Toc4576"/>
      <w:bookmarkStart w:id="52" w:name="_Toc19744"/>
      <w:r>
        <w:rPr>
          <w:rFonts w:hint="eastAsia"/>
        </w:rPr>
        <w:t>定位附件设计</w:t>
      </w:r>
      <w:bookmarkEnd w:id="51"/>
      <w:bookmarkEnd w:id="52"/>
    </w:p>
    <w:p>
      <w:pPr>
        <w:ind w:firstLine="420"/>
      </w:pPr>
      <w:r>
        <w:rPr>
          <w:rFonts w:hint="eastAsia"/>
        </w:rPr>
        <w:t>定位附件是为了辅助系统的正常运行、设备自检、器械的保存消毒、手术操作等，定位附件包括定位器、C臂机配准板、</w:t>
      </w:r>
      <w:r>
        <w:rPr>
          <w:rFonts w:ascii="宋体" w:hAnsi="宋体" w:cs="宋体"/>
          <w:color w:val="000000"/>
          <w:kern w:val="0"/>
          <w:sz w:val="18"/>
          <w:szCs w:val="18"/>
        </w:rPr>
        <w:t>C</w:t>
      </w:r>
      <w:r>
        <w:rPr>
          <w:rFonts w:hint="eastAsia" w:ascii="宋体" w:hAnsi="宋体" w:cs="宋体"/>
          <w:color w:val="000000"/>
          <w:kern w:val="0"/>
          <w:sz w:val="18"/>
          <w:szCs w:val="18"/>
        </w:rPr>
        <w:t>臂机配准板示踪器</w:t>
      </w:r>
      <w:r>
        <w:rPr>
          <w:rFonts w:hint="eastAsia" w:ascii="宋体" w:hAnsi="宋体" w:cs="宋体"/>
          <w:color w:val="000000"/>
          <w:kern w:val="0"/>
          <w:sz w:val="18"/>
          <w:szCs w:val="18"/>
          <w:lang w:eastAsia="zh-CN"/>
        </w:rPr>
        <w:t>、</w:t>
      </w:r>
      <w:r>
        <w:rPr>
          <w:rFonts w:hint="eastAsia"/>
        </w:rPr>
        <w:t>机械臂配准板、探针、患者示踪器、一级套筒、二级套筒</w:t>
      </w:r>
      <w:r>
        <w:rPr>
          <w:rFonts w:hint="eastAsia" w:ascii="宋体" w:hAnsi="宋体" w:cs="宋体"/>
          <w:color w:val="000000"/>
          <w:kern w:val="0"/>
          <w:sz w:val="18"/>
          <w:szCs w:val="18"/>
        </w:rPr>
        <w:t>(</w:t>
      </w:r>
      <w:r>
        <w:rPr>
          <w:rFonts w:hint="eastAsia" w:ascii="宋体" w:hAnsi="宋体" w:cs="宋体"/>
          <w:color w:val="000000"/>
          <w:w w:val="80"/>
          <w:kern w:val="0"/>
          <w:sz w:val="18"/>
          <w:szCs w:val="18"/>
        </w:rPr>
        <w:t>φ</w:t>
      </w:r>
      <w:r>
        <w:rPr>
          <w:rFonts w:ascii="宋体" w:hAnsi="宋体" w:cs="宋体"/>
          <w:color w:val="000000"/>
          <w:kern w:val="0"/>
          <w:sz w:val="18"/>
          <w:szCs w:val="18"/>
        </w:rPr>
        <w:t>2.5mm</w:t>
      </w:r>
      <w:r>
        <w:rPr>
          <w:rFonts w:ascii="宋体" w:hAnsi="宋体" w:cs="宋体"/>
          <w:color w:val="000000"/>
          <w:w w:val="80"/>
          <w:kern w:val="0"/>
          <w:sz w:val="18"/>
          <w:szCs w:val="18"/>
        </w:rPr>
        <w:t>×</w:t>
      </w:r>
      <w:r>
        <w:rPr>
          <w:rFonts w:ascii="宋体" w:hAnsi="宋体" w:cs="宋体"/>
          <w:color w:val="000000"/>
          <w:kern w:val="0"/>
          <w:sz w:val="18"/>
          <w:szCs w:val="18"/>
        </w:rPr>
        <w:t>150mm</w:t>
      </w:r>
      <w:r>
        <w:rPr>
          <w:rFonts w:hint="eastAsia" w:ascii="宋体" w:hAnsi="宋体" w:cs="宋体"/>
          <w:color w:val="000000"/>
          <w:kern w:val="0"/>
          <w:sz w:val="18"/>
          <w:szCs w:val="18"/>
        </w:rPr>
        <w:t>)</w:t>
      </w:r>
      <w:r>
        <w:rPr>
          <w:rFonts w:hint="eastAsia"/>
        </w:rPr>
        <w:t>、骨钻示踪器、标定器</w:t>
      </w:r>
      <w:r>
        <w:rPr>
          <w:rFonts w:hint="eastAsia"/>
          <w:lang w:eastAsia="zh-CN"/>
        </w:rPr>
        <w:t>、</w:t>
      </w:r>
      <w:r>
        <w:rPr>
          <w:rFonts w:hint="eastAsia"/>
          <w:lang w:val="en-US" w:eastAsia="zh-CN"/>
        </w:rPr>
        <w:t>扳手，</w:t>
      </w:r>
      <w:r>
        <w:rPr>
          <w:rFonts w:hint="eastAsia" w:ascii="宋体" w:hAnsi="宋体" w:cs="宋体"/>
          <w:color w:val="000000"/>
          <w:kern w:val="0"/>
          <w:sz w:val="18"/>
          <w:szCs w:val="18"/>
        </w:rPr>
        <w:t>固定杆φ</w:t>
      </w:r>
      <w:r>
        <w:rPr>
          <w:rFonts w:ascii="宋体" w:hAnsi="宋体" w:cs="宋体"/>
          <w:color w:val="000000"/>
          <w:kern w:val="0"/>
          <w:sz w:val="18"/>
          <w:szCs w:val="18"/>
        </w:rPr>
        <w:t>4.5</w:t>
      </w:r>
      <w:r>
        <w:rPr>
          <w:rFonts w:hint="eastAsia" w:ascii="宋体" w:hAnsi="宋体" w:cs="宋体"/>
          <w:color w:val="000000"/>
          <w:kern w:val="0"/>
          <w:sz w:val="18"/>
          <w:szCs w:val="18"/>
          <w:lang w:eastAsia="zh-CN"/>
        </w:rPr>
        <w:t>，</w:t>
      </w:r>
      <w:r>
        <w:rPr>
          <w:rFonts w:hint="eastAsia"/>
        </w:rPr>
        <w:t>具体详细介绍如下：</w:t>
      </w:r>
    </w:p>
    <w:p>
      <w:pPr>
        <w:pStyle w:val="22"/>
        <w:numPr>
          <w:ilvl w:val="0"/>
          <w:numId w:val="2"/>
        </w:numPr>
        <w:ind w:left="703" w:leftChars="200" w:hanging="283"/>
      </w:pPr>
      <w:r>
        <w:rPr>
          <w:rFonts w:hint="eastAsia"/>
        </w:rPr>
        <w:t>定位器</w:t>
      </w:r>
    </w:p>
    <w:p>
      <w:pPr>
        <w:ind w:firstLine="420"/>
      </w:pPr>
      <w:r>
        <w:rPr>
          <w:rFonts w:hint="eastAsia"/>
        </w:rPr>
        <w:t>定位器用于手术通道的引导，前端通道处结构简洁，小巧，有开口，由快拆结构安装于末端控制器。定位器术前需要消毒灭菌，术中与无菌罩配合使用，无菌罩与定位器的连接处密封设计，无菌罩将机械臂和台车都包裹在内部。定位器</w:t>
      </w:r>
      <w:r>
        <w:rPr>
          <w:rFonts w:hint="eastAsia"/>
          <w:szCs w:val="21"/>
        </w:rPr>
        <w:t>安装至少三组示踪器，每组示踪器安装4个玻璃球。</w:t>
      </w:r>
      <w:r>
        <w:rPr>
          <w:rFonts w:hint="eastAsia"/>
        </w:rPr>
        <w:t>定位通道处可放置探针、一级套筒和配准板，安装配准板时有固定机构，保证每次安装的一致性。</w:t>
      </w:r>
    </w:p>
    <w:p>
      <w:pPr>
        <w:pStyle w:val="22"/>
        <w:numPr>
          <w:ilvl w:val="0"/>
          <w:numId w:val="2"/>
        </w:numPr>
        <w:ind w:left="703" w:leftChars="200" w:hanging="283"/>
      </w:pPr>
      <w:r>
        <w:rPr>
          <w:rFonts w:hint="eastAsia"/>
        </w:rPr>
        <w:t>C臂机配准板</w:t>
      </w:r>
    </w:p>
    <w:p>
      <w:pPr>
        <w:ind w:firstLine="420"/>
      </w:pPr>
      <w:r>
        <w:rPr>
          <w:rFonts w:hint="eastAsia"/>
        </w:rPr>
        <w:t>配准板用于X光图像的注册，实现图像坐标系与双目相机坐标系的统一。影增C臂机配准板采用卡环固定的方式安装于C臂机影增处，平板C臂机配准板采用绑带固定的方式安装于平板探测器处，为双层结构设计，每层上安装有一定数量的钢珠球，用于X光透视中显影。C臂机配准板上在相对的两个侧面各设置一个安装接口，用于配准板示踪器的安装。配准板示踪器安装有4个玻璃球。示踪器采用磁铁吸附的方式安装在配准板的安装接口处。C臂机配准板不消毒被C臂机无菌罩完全包裹，配准板示踪器需要低温消毒灭菌，隔着无菌罩安装于C臂机配准板。</w:t>
      </w:r>
    </w:p>
    <w:p>
      <w:pPr>
        <w:pStyle w:val="22"/>
        <w:numPr>
          <w:ilvl w:val="0"/>
          <w:numId w:val="2"/>
        </w:numPr>
        <w:ind w:left="703" w:leftChars="200" w:hanging="283"/>
      </w:pPr>
      <w:r>
        <w:rPr>
          <w:rFonts w:hint="eastAsia"/>
        </w:rPr>
        <w:t>机械臂配准板</w:t>
      </w:r>
    </w:p>
    <w:p>
      <w:pPr>
        <w:ind w:firstLine="420"/>
      </w:pPr>
      <w:r>
        <w:rPr>
          <w:rFonts w:hint="eastAsia"/>
        </w:rPr>
        <w:t>机械臂配准板为双层结构，每层上设置有一定数量的钢珠球，主体为注塑制造，有金属部分与之连接，低温灭菌后在术中使用。金属部分是与定位器通道的连接部分，可快速拆装，需保证每次的安装一致性。</w:t>
      </w:r>
    </w:p>
    <w:p>
      <w:pPr>
        <w:pStyle w:val="22"/>
        <w:numPr>
          <w:ilvl w:val="0"/>
          <w:numId w:val="2"/>
        </w:numPr>
        <w:ind w:left="703" w:leftChars="200" w:hanging="283"/>
      </w:pPr>
      <w:r>
        <w:rPr>
          <w:rFonts w:hint="eastAsia"/>
        </w:rPr>
        <w:t>探针</w:t>
      </w:r>
    </w:p>
    <w:p>
      <w:pPr>
        <w:ind w:firstLine="420" w:firstLineChars="0"/>
      </w:pPr>
      <w:r>
        <w:rPr>
          <w:rFonts w:hint="eastAsia"/>
        </w:rPr>
        <w:t>探针主要用于标定通道和相机的自校验，为笔状结构，头端较为尖锐，尾端安装有四个玻璃球，并位于同一平面，彼此间的距离满足双目相机的识别要求。探针为金属材料制作，可低温灭菌，不变形。</w:t>
      </w:r>
    </w:p>
    <w:p>
      <w:pPr>
        <w:pStyle w:val="22"/>
        <w:numPr>
          <w:ilvl w:val="0"/>
          <w:numId w:val="2"/>
        </w:numPr>
        <w:ind w:left="703" w:leftChars="200" w:hanging="283"/>
      </w:pPr>
      <w:r>
        <w:rPr>
          <w:rFonts w:hint="eastAsia"/>
        </w:rPr>
        <w:t>患者示踪器</w:t>
      </w:r>
    </w:p>
    <w:p>
      <w:pPr>
        <w:ind w:firstLine="420" w:firstLineChars="0"/>
      </w:pPr>
      <w:r>
        <w:rPr>
          <w:rFonts w:hint="eastAsia"/>
        </w:rPr>
        <w:t>患者示踪器用于术中实时捕获患者的位姿数据，用于坐标系的统一和定位补偿。由示踪架、棘突夹、患者示踪器固定针组成。示踪架上安装有四个玻璃球，并位于同一平面，彼此间的距离满足双目相机的识别要求。棘突夹安装于患者的棘突，示踪架安装于棘突夹，保证术中示踪器整体与骨骼间不发生相对移动。患者示踪器固定针安装于患者的骨骼上，进入骨骼部分有螺纹设计，连接牢固，示踪架安装于患者示踪器固定针上，保证术中示踪器整体与骨骼间不发生相对移动。棘突夹、患者示踪器固定针可高温灭菌，示踪器需低温灭菌，不变形。</w:t>
      </w:r>
    </w:p>
    <w:p>
      <w:pPr>
        <w:pStyle w:val="22"/>
        <w:numPr>
          <w:ilvl w:val="0"/>
          <w:numId w:val="2"/>
        </w:numPr>
        <w:ind w:left="703" w:leftChars="200" w:hanging="283"/>
      </w:pPr>
      <w:r>
        <w:rPr>
          <w:rFonts w:hint="eastAsia"/>
        </w:rPr>
        <w:t>套筒</w:t>
      </w:r>
    </w:p>
    <w:p>
      <w:pPr>
        <w:ind w:firstLine="420" w:firstLineChars="0"/>
      </w:pPr>
      <w:r>
        <w:rPr>
          <w:rFonts w:hint="eastAsia"/>
        </w:rPr>
        <w:t>分为一级套筒和二级套筒，一级套筒有双面的示踪器安装在定位器上，可快速拆装。二级套筒放置在一级套筒中有三种长度多种内径的规格，用于克氏针或者导针的导向，可快速拆装。一级套筒需要低温消毒，二级套筒为金属材质可高温消毒，不变形。</w:t>
      </w:r>
    </w:p>
    <w:p>
      <w:pPr>
        <w:pStyle w:val="22"/>
        <w:numPr>
          <w:ilvl w:val="0"/>
          <w:numId w:val="2"/>
        </w:numPr>
        <w:ind w:left="703" w:leftChars="200" w:hanging="283"/>
      </w:pPr>
      <w:r>
        <w:rPr>
          <w:rFonts w:hint="eastAsia"/>
        </w:rPr>
        <w:t>骨钻</w:t>
      </w:r>
      <w:r>
        <w:rPr>
          <w:rFonts w:hint="eastAsia"/>
          <w:lang w:bidi="ar"/>
        </w:rPr>
        <w:t>示踪器</w:t>
      </w:r>
    </w:p>
    <w:p>
      <w:pPr>
        <w:ind w:firstLine="420" w:firstLineChars="0"/>
      </w:pPr>
      <w:r>
        <w:rPr>
          <w:rFonts w:hint="eastAsia"/>
          <w:lang w:bidi="ar"/>
        </w:rPr>
        <w:t>骨钻示踪器上安装有四个反光球，可安装在骨钻上，用于钻孔过程中的骨钻位姿实时地在图像上可视化。骨钻的钻头可放入二级套筒的通道中，配合紧密。骨钻示踪器需要低温灭菌，不易变形。</w:t>
      </w:r>
    </w:p>
    <w:p>
      <w:pPr>
        <w:pStyle w:val="22"/>
        <w:numPr>
          <w:ilvl w:val="0"/>
          <w:numId w:val="2"/>
        </w:numPr>
        <w:ind w:left="703" w:leftChars="200" w:hanging="283"/>
      </w:pPr>
      <w:r>
        <w:rPr>
          <w:rFonts w:hint="eastAsia"/>
        </w:rPr>
        <w:t>标定器</w:t>
      </w:r>
    </w:p>
    <w:p>
      <w:pPr>
        <w:ind w:firstLine="420"/>
      </w:pPr>
      <w:r>
        <w:rPr>
          <w:rFonts w:hint="eastAsia"/>
        </w:rPr>
        <w:t>标定器用于标定探针和相机自检；安装有四个玻璃球并位于同一平面，彼此间的距离满足双目相机的识别要求。有四个小孔供探针尖端插入，有凹槽，可将探针横向放入，用于标定轴线的方向。</w:t>
      </w:r>
    </w:p>
    <w:p>
      <w:pPr>
        <w:pStyle w:val="3"/>
        <w:spacing w:before="62" w:after="62"/>
      </w:pPr>
      <w:bookmarkStart w:id="53" w:name="_Toc12583"/>
      <w:bookmarkStart w:id="54" w:name="_Toc30869"/>
      <w:r>
        <w:rPr>
          <w:rFonts w:hint="eastAsia"/>
        </w:rPr>
        <w:t>法规与标准</w:t>
      </w:r>
      <w:bookmarkEnd w:id="53"/>
      <w:bookmarkEnd w:id="54"/>
    </w:p>
    <w:p>
      <w:pPr>
        <w:pStyle w:val="4"/>
        <w:spacing w:before="62" w:after="62"/>
      </w:pPr>
      <w:bookmarkStart w:id="55" w:name="_Toc16618"/>
      <w:bookmarkStart w:id="56" w:name="_Toc16244"/>
      <w:r>
        <w:t>法规</w:t>
      </w:r>
      <w:bookmarkEnd w:id="55"/>
      <w:bookmarkEnd w:id="56"/>
      <w:r>
        <w:tab/>
      </w:r>
    </w:p>
    <w:p>
      <w:pPr>
        <w:pStyle w:val="22"/>
        <w:numPr>
          <w:ilvl w:val="0"/>
          <w:numId w:val="4"/>
        </w:numPr>
        <w:adjustRightInd/>
        <w:snapToGrid/>
        <w:spacing w:after="62" w:line="259" w:lineRule="auto"/>
        <w:ind w:left="420" w:hanging="420"/>
      </w:pPr>
      <w:bookmarkStart w:id="57" w:name="_Toc6614"/>
      <w:r>
        <w:t>《医疗器械监督管理条例》</w:t>
      </w:r>
      <w:r>
        <w:rPr>
          <w:rFonts w:hint="eastAsia"/>
        </w:rPr>
        <w:t>（</w:t>
      </w:r>
      <w:r>
        <w:t>国务院令第739号</w:t>
      </w:r>
      <w:r>
        <w:rPr>
          <w:rFonts w:hint="eastAsia"/>
        </w:rPr>
        <w:t>）</w:t>
      </w:r>
    </w:p>
    <w:p>
      <w:pPr>
        <w:pStyle w:val="22"/>
        <w:numPr>
          <w:ilvl w:val="0"/>
          <w:numId w:val="4"/>
        </w:numPr>
        <w:adjustRightInd/>
        <w:snapToGrid/>
        <w:spacing w:after="62" w:line="259" w:lineRule="auto"/>
        <w:ind w:left="420" w:hanging="420"/>
      </w:pPr>
      <w:r>
        <w:t>《医疗器械注册与备案管理办法》</w:t>
      </w:r>
      <w:r>
        <w:rPr>
          <w:rFonts w:hint="eastAsia"/>
        </w:rPr>
        <w:t>（</w:t>
      </w:r>
      <w:r>
        <w:t>国家市场监督管理总局令第47号</w:t>
      </w:r>
      <w:r>
        <w:rPr>
          <w:rFonts w:hint="eastAsia"/>
        </w:rPr>
        <w:t>）</w:t>
      </w:r>
    </w:p>
    <w:p>
      <w:pPr>
        <w:pStyle w:val="22"/>
        <w:numPr>
          <w:ilvl w:val="0"/>
          <w:numId w:val="4"/>
        </w:numPr>
        <w:adjustRightInd/>
        <w:snapToGrid/>
        <w:spacing w:after="62" w:line="259" w:lineRule="auto"/>
        <w:ind w:left="420" w:hanging="420"/>
      </w:pPr>
      <w:r>
        <w:t>《医疗器械生产监督管理办法》（总局令第53 号）</w:t>
      </w:r>
    </w:p>
    <w:p>
      <w:pPr>
        <w:pStyle w:val="22"/>
        <w:numPr>
          <w:ilvl w:val="0"/>
          <w:numId w:val="4"/>
        </w:numPr>
        <w:adjustRightInd/>
        <w:snapToGrid/>
        <w:spacing w:after="62" w:line="259" w:lineRule="auto"/>
        <w:ind w:left="420" w:hanging="420"/>
      </w:pPr>
      <w:r>
        <w:t>《医疗器械生产质量管理规范》（2014年第64号）</w:t>
      </w:r>
    </w:p>
    <w:p>
      <w:pPr>
        <w:pStyle w:val="22"/>
        <w:numPr>
          <w:ilvl w:val="0"/>
          <w:numId w:val="4"/>
        </w:numPr>
        <w:adjustRightInd/>
        <w:snapToGrid/>
        <w:spacing w:after="62" w:line="259" w:lineRule="auto"/>
        <w:ind w:left="420" w:hanging="420"/>
      </w:pPr>
      <w:r>
        <w:t>《医疗器械生产质量管理规范附录独立软件》（2019年第43号）</w:t>
      </w:r>
    </w:p>
    <w:p>
      <w:pPr>
        <w:pStyle w:val="22"/>
        <w:numPr>
          <w:ilvl w:val="0"/>
          <w:numId w:val="4"/>
        </w:numPr>
        <w:adjustRightInd/>
        <w:snapToGrid/>
        <w:spacing w:after="62" w:line="259" w:lineRule="auto"/>
        <w:ind w:left="420" w:hanging="420"/>
      </w:pPr>
      <w:r>
        <w:rPr>
          <w:rFonts w:hint="eastAsia"/>
        </w:rPr>
        <w:t>《医疗器械说明书和标签管理规定》（总局令第6号）</w:t>
      </w:r>
    </w:p>
    <w:p>
      <w:pPr>
        <w:pStyle w:val="22"/>
        <w:numPr>
          <w:ilvl w:val="0"/>
          <w:numId w:val="4"/>
        </w:numPr>
        <w:adjustRightInd/>
        <w:snapToGrid/>
        <w:spacing w:after="62" w:line="259" w:lineRule="auto"/>
        <w:ind w:left="420" w:hanging="420"/>
      </w:pPr>
      <w:r>
        <w:t>《医疗器械唯一标识系统规则的公告》（2019年 第66号）</w:t>
      </w:r>
    </w:p>
    <w:p>
      <w:pPr>
        <w:pStyle w:val="22"/>
        <w:numPr>
          <w:ilvl w:val="0"/>
          <w:numId w:val="4"/>
        </w:numPr>
        <w:adjustRightInd/>
        <w:snapToGrid/>
        <w:spacing w:after="62" w:line="259" w:lineRule="auto"/>
        <w:ind w:left="420" w:hanging="420"/>
      </w:pPr>
      <w:r>
        <w:t>《医疗器械注册申报资料要求和批准证明文件格式》（2021年第121号</w:t>
      </w:r>
      <w:r>
        <w:rPr>
          <w:rFonts w:hint="eastAsia"/>
        </w:rPr>
        <w:t>）</w:t>
      </w:r>
    </w:p>
    <w:p>
      <w:pPr>
        <w:pStyle w:val="4"/>
        <w:spacing w:before="62" w:after="62"/>
      </w:pPr>
      <w:bookmarkStart w:id="58" w:name="_Toc963"/>
      <w:r>
        <w:t>标准</w:t>
      </w:r>
      <w:bookmarkEnd w:id="57"/>
      <w:bookmarkEnd w:id="58"/>
      <w:r>
        <w:tab/>
      </w:r>
    </w:p>
    <w:p>
      <w:pPr>
        <w:pStyle w:val="22"/>
        <w:numPr>
          <w:ilvl w:val="0"/>
          <w:numId w:val="4"/>
        </w:numPr>
        <w:adjustRightInd/>
        <w:snapToGrid/>
        <w:spacing w:after="62" w:line="259" w:lineRule="auto"/>
        <w:ind w:left="420" w:hanging="420"/>
      </w:pPr>
      <w:r>
        <w:rPr>
          <w:rFonts w:hint="eastAsia"/>
        </w:rPr>
        <w:t>GB 9706.1-2020 《医用电气设备 第1部分：基本安全和基本性能的通用要求》</w:t>
      </w:r>
    </w:p>
    <w:p>
      <w:pPr>
        <w:pStyle w:val="22"/>
        <w:numPr>
          <w:ilvl w:val="0"/>
          <w:numId w:val="4"/>
        </w:numPr>
        <w:adjustRightInd/>
        <w:snapToGrid/>
        <w:spacing w:after="62" w:line="259" w:lineRule="auto"/>
        <w:ind w:left="420" w:hanging="420"/>
      </w:pPr>
      <w:r>
        <w:rPr>
          <w:rFonts w:hint="eastAsia"/>
        </w:rPr>
        <w:t>GB 7247.1-2012 《激光产品的安全 第1部分设备分类、要求》</w:t>
      </w:r>
    </w:p>
    <w:p>
      <w:pPr>
        <w:pStyle w:val="22"/>
        <w:numPr>
          <w:ilvl w:val="0"/>
          <w:numId w:val="4"/>
        </w:numPr>
        <w:adjustRightInd/>
        <w:snapToGrid/>
        <w:spacing w:after="62" w:line="259" w:lineRule="auto"/>
        <w:ind w:left="420" w:hanging="420"/>
      </w:pPr>
      <w:r>
        <w:rPr>
          <w:rFonts w:hint="eastAsia"/>
        </w:rPr>
        <w:t>GB/T 14710-2009 《医用电器环境要求及试验方法》</w:t>
      </w:r>
    </w:p>
    <w:p>
      <w:pPr>
        <w:pStyle w:val="22"/>
        <w:numPr>
          <w:ilvl w:val="0"/>
          <w:numId w:val="4"/>
        </w:numPr>
        <w:adjustRightInd/>
        <w:snapToGrid/>
        <w:spacing w:after="62" w:line="259" w:lineRule="auto"/>
        <w:ind w:left="420" w:hanging="420"/>
      </w:pPr>
      <w:r>
        <w:rPr>
          <w:rFonts w:hint="eastAsia"/>
        </w:rPr>
        <w:t>GB/T 20271-2006 《信息安全技术信息系统通用安全技术要求》</w:t>
      </w:r>
    </w:p>
    <w:p>
      <w:pPr>
        <w:pStyle w:val="22"/>
        <w:numPr>
          <w:ilvl w:val="0"/>
          <w:numId w:val="4"/>
        </w:numPr>
        <w:adjustRightInd/>
        <w:snapToGrid/>
        <w:spacing w:after="62" w:line="259" w:lineRule="auto"/>
        <w:ind w:left="420" w:hanging="420"/>
      </w:pPr>
      <w:r>
        <w:rPr>
          <w:rFonts w:hint="eastAsia"/>
        </w:rPr>
        <w:t>GB/T 20984-2007 《信息安全技术信息安全风险评估规范》</w:t>
      </w:r>
    </w:p>
    <w:p>
      <w:pPr>
        <w:pStyle w:val="22"/>
        <w:numPr>
          <w:ilvl w:val="0"/>
          <w:numId w:val="4"/>
        </w:numPr>
        <w:adjustRightInd/>
        <w:snapToGrid/>
        <w:spacing w:after="62" w:line="259" w:lineRule="auto"/>
        <w:ind w:left="420" w:hanging="420"/>
      </w:pPr>
      <w:r>
        <w:rPr>
          <w:rFonts w:hint="eastAsia"/>
        </w:rPr>
        <w:t>GB/T 22080-2016 《信息技术安全技术信息安全管理体系要求》</w:t>
      </w:r>
    </w:p>
    <w:p>
      <w:pPr>
        <w:pStyle w:val="22"/>
        <w:numPr>
          <w:ilvl w:val="0"/>
          <w:numId w:val="4"/>
        </w:numPr>
        <w:adjustRightInd/>
        <w:snapToGrid/>
        <w:spacing w:after="62" w:line="259" w:lineRule="auto"/>
        <w:ind w:left="420" w:hanging="420"/>
      </w:pPr>
      <w:r>
        <w:rPr>
          <w:rFonts w:hint="eastAsia"/>
        </w:rPr>
        <w:t>GB/T 22081-2016 《信息技术安全技术信息安全管理实用规则》</w:t>
      </w:r>
    </w:p>
    <w:p>
      <w:pPr>
        <w:pStyle w:val="22"/>
        <w:numPr>
          <w:ilvl w:val="0"/>
          <w:numId w:val="4"/>
        </w:numPr>
        <w:adjustRightInd/>
        <w:snapToGrid/>
        <w:spacing w:after="62" w:line="259" w:lineRule="auto"/>
        <w:ind w:left="420" w:hanging="420"/>
      </w:pPr>
      <w:r>
        <w:rPr>
          <w:rFonts w:hint="eastAsia"/>
        </w:rPr>
        <w:t>GB/T 29246-2012 《信息技术安全技术信息安全管理体系概述和词汇》</w:t>
      </w:r>
    </w:p>
    <w:p>
      <w:pPr>
        <w:pStyle w:val="22"/>
        <w:numPr>
          <w:ilvl w:val="0"/>
          <w:numId w:val="4"/>
        </w:numPr>
        <w:adjustRightInd/>
        <w:snapToGrid/>
        <w:spacing w:after="62" w:line="259" w:lineRule="auto"/>
        <w:ind w:left="420" w:hanging="420"/>
      </w:pPr>
      <w:r>
        <w:rPr>
          <w:rFonts w:hint="eastAsia"/>
        </w:rPr>
        <w:t xml:space="preserve">GB/T 25000.51-2016 </w:t>
      </w:r>
      <w:r>
        <w:t>《</w:t>
      </w:r>
      <w:r>
        <w:rPr>
          <w:rFonts w:hint="eastAsia"/>
        </w:rPr>
        <w:t>系统与软件工程 系统与软件质量要求和评价( SQuaRE )第 51 部分: 就绪可用软件产品( RUSP )的质量要求和测试细则》</w:t>
      </w:r>
    </w:p>
    <w:p>
      <w:pPr>
        <w:pStyle w:val="22"/>
        <w:numPr>
          <w:ilvl w:val="0"/>
          <w:numId w:val="4"/>
        </w:numPr>
        <w:adjustRightInd/>
        <w:snapToGrid/>
        <w:spacing w:after="62" w:line="259" w:lineRule="auto"/>
        <w:ind w:left="420" w:hanging="420"/>
      </w:pPr>
      <w:r>
        <w:rPr>
          <w:rFonts w:hint="eastAsia"/>
        </w:rPr>
        <w:t>GB/Z 24364-2009 《信息安全技术信息安全风险管理指南》</w:t>
      </w:r>
    </w:p>
    <w:p>
      <w:pPr>
        <w:pStyle w:val="22"/>
        <w:numPr>
          <w:ilvl w:val="0"/>
          <w:numId w:val="4"/>
        </w:numPr>
        <w:adjustRightInd/>
        <w:snapToGrid/>
        <w:spacing w:after="62" w:line="259" w:lineRule="auto"/>
        <w:ind w:left="420" w:hanging="420"/>
      </w:pPr>
      <w:r>
        <w:rPr>
          <w:rFonts w:hint="eastAsia"/>
        </w:rPr>
        <w:t>YY 9706.102-2021 《医用电气设备 第1-2部分：基本安全和基本性能的通用要求 并列标准：电磁兼容 要求和试验》的要求（2023.5.1实施）</w:t>
      </w:r>
    </w:p>
    <w:p>
      <w:pPr>
        <w:pStyle w:val="22"/>
        <w:numPr>
          <w:ilvl w:val="0"/>
          <w:numId w:val="4"/>
        </w:numPr>
        <w:adjustRightInd/>
        <w:snapToGrid/>
        <w:spacing w:after="62" w:line="259" w:lineRule="auto"/>
        <w:ind w:left="420" w:hanging="420"/>
      </w:pPr>
      <w:r>
        <w:rPr>
          <w:rFonts w:hint="eastAsia"/>
        </w:rPr>
        <w:t>YY 0505-2012 《医用电气设备 第1-2部分 安全通用要求并列标准 电磁兼容 要求和试验》</w:t>
      </w:r>
    </w:p>
    <w:p>
      <w:pPr>
        <w:pStyle w:val="22"/>
        <w:numPr>
          <w:ilvl w:val="0"/>
          <w:numId w:val="4"/>
        </w:numPr>
        <w:adjustRightInd/>
        <w:snapToGrid/>
        <w:spacing w:after="62" w:line="259" w:lineRule="auto"/>
        <w:ind w:left="420" w:hanging="420"/>
      </w:pPr>
      <w:r>
        <w:rPr>
          <w:rFonts w:hint="eastAsia"/>
        </w:rPr>
        <w:t xml:space="preserve">YY/T 1406.1-2016 </w:t>
      </w:r>
      <w:r>
        <w:t>《</w:t>
      </w:r>
      <w:r>
        <w:rPr>
          <w:rFonts w:hint="eastAsia"/>
        </w:rPr>
        <w:t>医疗器械软件 第1部分YY/ T0316应用于医疗器械软件的指南》</w:t>
      </w:r>
    </w:p>
    <w:p>
      <w:pPr>
        <w:pStyle w:val="22"/>
        <w:numPr>
          <w:ilvl w:val="0"/>
          <w:numId w:val="4"/>
        </w:numPr>
        <w:adjustRightInd/>
        <w:snapToGrid/>
        <w:spacing w:after="62" w:line="259" w:lineRule="auto"/>
        <w:ind w:left="420" w:hanging="420"/>
      </w:pPr>
      <w:r>
        <w:rPr>
          <w:rFonts w:hint="eastAsia"/>
        </w:rPr>
        <w:t xml:space="preserve">YY/T 0664-2020 </w:t>
      </w:r>
      <w:r>
        <w:t>《</w:t>
      </w:r>
      <w:r>
        <w:rPr>
          <w:rFonts w:hint="eastAsia"/>
        </w:rPr>
        <w:t>医疗器械软件 软件生存周期过程</w:t>
      </w:r>
      <w:r>
        <w:t>》</w:t>
      </w:r>
    </w:p>
    <w:p>
      <w:pPr>
        <w:pStyle w:val="22"/>
        <w:numPr>
          <w:ilvl w:val="0"/>
          <w:numId w:val="4"/>
        </w:numPr>
        <w:adjustRightInd/>
        <w:snapToGrid/>
        <w:spacing w:after="62" w:line="259" w:lineRule="auto"/>
        <w:ind w:left="420" w:hanging="420"/>
      </w:pPr>
      <w:r>
        <w:rPr>
          <w:rFonts w:hint="eastAsia"/>
        </w:rPr>
        <w:t>YY 1057-2016 《医用脚踏开关通用技术条件》</w:t>
      </w:r>
    </w:p>
    <w:p>
      <w:pPr>
        <w:pStyle w:val="22"/>
        <w:numPr>
          <w:ilvl w:val="0"/>
          <w:numId w:val="4"/>
        </w:numPr>
        <w:adjustRightInd/>
        <w:snapToGrid/>
        <w:spacing w:after="62" w:line="259" w:lineRule="auto"/>
        <w:ind w:left="420" w:hanging="420"/>
      </w:pPr>
      <w:r>
        <w:rPr>
          <w:rFonts w:hint="eastAsia"/>
        </w:rPr>
        <w:t>YY/T 1630—2018 《医疗器械唯一标识基本要求》</w:t>
      </w:r>
    </w:p>
    <w:p>
      <w:pPr>
        <w:pStyle w:val="22"/>
        <w:numPr>
          <w:ilvl w:val="0"/>
          <w:numId w:val="4"/>
        </w:numPr>
        <w:adjustRightInd/>
        <w:snapToGrid/>
        <w:spacing w:after="62" w:line="259" w:lineRule="auto"/>
        <w:ind w:left="420" w:hanging="420"/>
      </w:pPr>
      <w:bookmarkStart w:id="59" w:name="OLE_LINK11"/>
      <w:r>
        <w:rPr>
          <w:rFonts w:hint="eastAsia"/>
        </w:rPr>
        <w:t>YY/T 0287-20</w:t>
      </w:r>
      <w:bookmarkEnd w:id="59"/>
      <w:r>
        <w:rPr>
          <w:rFonts w:hint="eastAsia"/>
        </w:rPr>
        <w:t xml:space="preserve">03 </w:t>
      </w:r>
      <w:r>
        <w:t>《</w:t>
      </w:r>
      <w:r>
        <w:rPr>
          <w:rFonts w:hint="eastAsia"/>
        </w:rPr>
        <w:t>医疗器械质量管理体系用于法规的要求》</w:t>
      </w:r>
    </w:p>
    <w:p>
      <w:pPr>
        <w:pStyle w:val="22"/>
        <w:numPr>
          <w:ilvl w:val="0"/>
          <w:numId w:val="4"/>
        </w:numPr>
        <w:adjustRightInd/>
        <w:snapToGrid/>
        <w:spacing w:after="62" w:line="259" w:lineRule="auto"/>
        <w:ind w:left="420" w:hanging="420"/>
      </w:pPr>
      <w:r>
        <w:rPr>
          <w:rFonts w:hint="eastAsia"/>
        </w:rPr>
        <w:t>YY/T 1474-2016 《医疗器械可用性工程对医疗器械的应用》</w:t>
      </w:r>
    </w:p>
    <w:p>
      <w:pPr>
        <w:pStyle w:val="22"/>
        <w:numPr>
          <w:ilvl w:val="0"/>
          <w:numId w:val="4"/>
        </w:numPr>
        <w:adjustRightInd/>
        <w:snapToGrid/>
        <w:spacing w:after="62" w:line="259" w:lineRule="auto"/>
        <w:ind w:left="420" w:hanging="420"/>
      </w:pPr>
      <w:r>
        <w:rPr>
          <w:rFonts w:hint="eastAsia"/>
        </w:rPr>
        <w:t>YY/T 1712-2021 《采用机器人技术的辅助手术设备和辅助手术系统》</w:t>
      </w:r>
    </w:p>
    <w:p>
      <w:pPr>
        <w:pStyle w:val="22"/>
        <w:numPr>
          <w:ilvl w:val="0"/>
          <w:numId w:val="4"/>
        </w:numPr>
        <w:adjustRightInd/>
        <w:snapToGrid/>
        <w:spacing w:after="62" w:line="259" w:lineRule="auto"/>
        <w:ind w:left="420" w:hanging="420"/>
      </w:pPr>
      <w:r>
        <w:rPr>
          <w:rFonts w:hint="eastAsia"/>
        </w:rPr>
        <w:t>YY/T 1474-2016 《医疗器械可用性工程对医疗器械的应用》</w:t>
      </w:r>
    </w:p>
    <w:p>
      <w:pPr>
        <w:pStyle w:val="4"/>
        <w:spacing w:before="62" w:after="62"/>
      </w:pPr>
      <w:bookmarkStart w:id="60" w:name="_Toc29726"/>
      <w:r>
        <w:rPr>
          <w:rFonts w:hint="eastAsia"/>
        </w:rPr>
        <w:t>参考资料</w:t>
      </w:r>
      <w:bookmarkEnd w:id="60"/>
      <w:r>
        <w:tab/>
      </w:r>
    </w:p>
    <w:p>
      <w:pPr>
        <w:pStyle w:val="22"/>
        <w:numPr>
          <w:ilvl w:val="0"/>
          <w:numId w:val="4"/>
        </w:numPr>
        <w:adjustRightInd/>
        <w:snapToGrid/>
        <w:spacing w:after="62" w:line="259" w:lineRule="auto"/>
        <w:ind w:left="420" w:hanging="420"/>
      </w:pPr>
      <w:r>
        <w:t xml:space="preserve">ST-QSP-10 </w:t>
      </w:r>
      <w:r>
        <w:rPr>
          <w:rFonts w:hint="eastAsia"/>
        </w:rPr>
        <w:t>《</w:t>
      </w:r>
      <w:r>
        <w:t>设计和开发控制程序</w:t>
      </w:r>
      <w:r>
        <w:rPr>
          <w:rFonts w:hint="eastAsia"/>
        </w:rPr>
        <w:t>》</w:t>
      </w:r>
    </w:p>
    <w:p>
      <w:pPr>
        <w:pStyle w:val="22"/>
        <w:numPr>
          <w:ilvl w:val="0"/>
          <w:numId w:val="4"/>
        </w:numPr>
        <w:adjustRightInd/>
        <w:snapToGrid/>
        <w:spacing w:after="62" w:line="259" w:lineRule="auto"/>
        <w:ind w:left="420" w:hanging="420"/>
      </w:pPr>
      <w:r>
        <w:t xml:space="preserve">ST-QSP-08 </w:t>
      </w:r>
      <w:r>
        <w:rPr>
          <w:rFonts w:hint="eastAsia"/>
        </w:rPr>
        <w:t>《</w:t>
      </w:r>
      <w:r>
        <w:t>风险控制</w:t>
      </w:r>
      <w:r>
        <w:rPr>
          <w:rFonts w:hint="eastAsia"/>
        </w:rPr>
        <w:t>程序》</w:t>
      </w:r>
      <w:bookmarkEnd w:id="32"/>
      <w:bookmarkEnd w:id="33"/>
    </w:p>
    <w:sectPr>
      <w:footerReference r:id="rId11" w:type="default"/>
      <w:pgSz w:w="11906" w:h="16838"/>
      <w:pgMar w:top="1440" w:right="1803" w:bottom="1440" w:left="1803" w:header="454" w:footer="992" w:gutter="0"/>
      <w:pgNumType w:start="1"/>
      <w:cols w:space="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QA04" w:date="2024-01-18T15:08:00Z" w:initials="Q">
    <w:p w14:paraId="65F40D7F">
      <w:pPr>
        <w:pStyle w:val="7"/>
      </w:pPr>
      <w:r>
        <w:rPr>
          <w:rFonts w:hint="eastAsia"/>
        </w:rPr>
        <w:t>缺少扳手、二级套筒、固定杆效期</w:t>
      </w:r>
      <w:bookmarkStart w:id="61" w:name="_GoBack"/>
      <w:bookmarkEnd w:id="61"/>
    </w:p>
  </w:comment>
  <w:comment w:id="1" w:author="QA04" w:date="2024-01-18T16:43:00Z" w:initials="Q">
    <w:p w14:paraId="58364AC5">
      <w:pPr>
        <w:pStyle w:val="7"/>
      </w:pPr>
      <w:r>
        <w:rPr>
          <w:rFonts w:hint="eastAsia"/>
        </w:rPr>
        <w:t>图1中的工具包改为定位附件；</w:t>
      </w:r>
    </w:p>
    <w:p w14:paraId="05AD28E9">
      <w:pPr>
        <w:pStyle w:val="7"/>
      </w:pPr>
      <w:r>
        <w:rPr>
          <w:rFonts w:hint="eastAsia"/>
        </w:rPr>
        <w:t>图中定位附件缺少</w:t>
      </w:r>
      <w:r>
        <w:t>C</w:t>
      </w:r>
      <w:r>
        <w:rPr>
          <w:rFonts w:hint="eastAsia"/>
        </w:rPr>
        <w:t>臂机配准板示踪器；</w:t>
      </w:r>
    </w:p>
  </w:comment>
  <w:comment w:id="2" w:author="QA04" w:date="2024-01-18T16:40:00Z" w:initials="Q">
    <w:p w14:paraId="7FD114F5">
      <w:pPr>
        <w:pStyle w:val="7"/>
      </w:pPr>
      <w:r>
        <w:rPr>
          <w:rFonts w:hint="eastAsia"/>
        </w:rPr>
        <w:t>缺少扳手、</w:t>
      </w:r>
      <w:r>
        <w:rPr>
          <w:rFonts w:ascii="宋体" w:hAnsi="宋体" w:cs="宋体"/>
          <w:sz w:val="24"/>
          <w:szCs w:val="28"/>
        </w:rPr>
        <w:t>C</w:t>
      </w:r>
      <w:r>
        <w:rPr>
          <w:rFonts w:hint="eastAsia" w:ascii="宋体" w:hAnsi="宋体" w:cs="宋体"/>
          <w:sz w:val="24"/>
          <w:szCs w:val="28"/>
        </w:rPr>
        <w:t>臂机配准板示踪器</w:t>
      </w:r>
      <w:r>
        <w:rPr>
          <w:rFonts w:hint="eastAsia"/>
        </w:rPr>
        <w:t>、固定杆；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F40D7F" w15:done="1"/>
  <w15:commentEx w15:paraId="05AD28E9" w15:done="1"/>
  <w15:commentEx w15:paraId="7FD114F5"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48" w:after="4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48" w:after="4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48" w:after="48"/>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48" w:after="48"/>
      <w:jc w:val="left"/>
    </w:pPr>
    <w:r>
      <w:rPr>
        <w:rFonts w:hint="eastAsi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spacing w:before="48" w:after="48"/>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OFvwdABAACkAwAADgAAAGRycy9lMm9Eb2MueG1srVPBjtMwEL0j8Q+W&#10;79tkqxWqoqYrULUrJARICx/gOk5jyfZYHrdJ+QD4A05cuPNd/Q7GTtKF5bIHLsl4ZvzmvZnx+naw&#10;hh1VQA2u5teLkjPlJDTa7Wv++dPd1YozjMI1woBTNT8p5Lebly/Wva/UEjowjQqMQBxWva95F6Ov&#10;igJlp6zABXjlKNhCsCLSMeyLJoie0K0plmX5qughND6AVIjk3Y5BPiGG5wBC22qptiAPVrk4ogZl&#10;RCRJ2GmPfJPZtq2S8UPboorM1JyUxvylImTv0rfYrEW1D8J3Wk4UxHMoPNFkhXZU9AK1FVGwQ9D/&#10;QFktAyC0cSHBFqOQ3BFScV0+6c1DJ7zKWqjV6C9Nx/8HK98fPwamm5rfcOaEpYGfv387//h1/vmV&#10;3aT29B4rynrwlBeHNzDQ0sx+JGdSPbTBpj/pYRSn5p4uzVVDZDJdWi1Xq5JCkmLzgfCLx+s+YLxX&#10;YFkyah5oermp4vgO45g6p6RqDu60MXmCxv3lIMzkKRL3kWOy4rAbJkE7aE6kh54B1ekgfOGspyWo&#10;uaOd58y8ddTjtC+zEWZjNxvCSbpY85Ei+teHSHwyzVRsrDBxoOFlodOipe3485yzHh/X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qXm5zwAAAAUBAAAPAAAAAAAAAAEAIAAAACIAAABkcnMvZG93&#10;bnJldi54bWxQSwECFAAUAAAACACHTuJAxOFvwdABAACkAwAADgAAAAAAAAABACAAAAAeAQAAZHJz&#10;L2Uyb0RvYy54bWxQSwUGAAAAAAYABgBZAQAAYAUAAAAA&#10;">
              <v:fill on="f" focussize="0,0"/>
              <v:stroke on="f"/>
              <v:imagedata o:title=""/>
              <o:lock v:ext="edit" aspectratio="f"/>
              <v:textbox inset="0mm,0mm,0mm,0mm" style="mso-fit-shape-to-text:t;">
                <w:txbxContent>
                  <w:p>
                    <w:pPr>
                      <w:pStyle w:val="8"/>
                      <w:spacing w:before="48" w:after="48"/>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48" w:after="48"/>
    </w:pPr>
    <w:r>
      <w:rPr>
        <w:rFonts w:hint="eastAsia"/>
      </w:rPr>
      <w:t xml:space="preserve">MS-002 </w:t>
    </w:r>
    <w:r>
      <w:rPr>
        <w:rFonts w:hint="eastAsia"/>
      </w:rPr>
      <w:tab/>
    </w:r>
    <w:r>
      <w:rPr>
        <w:rFonts w:hint="eastAsia"/>
      </w:rPr>
      <w:t>系统方案设计</w:t>
    </w:r>
    <w:r>
      <w:rPr>
        <w:rFonts w:hint="eastAsia"/>
        <w:position w:val="4"/>
      </w:rPr>
      <w:tab/>
    </w:r>
    <w:r>
      <w:rPr>
        <w:rFonts w:hint="eastAsia"/>
        <w:lang w:val="zh-CN"/>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FA884"/>
    <w:multiLevelType w:val="singleLevel"/>
    <w:tmpl w:val="927FA884"/>
    <w:lvl w:ilvl="0" w:tentative="0">
      <w:start w:val="1"/>
      <w:numFmt w:val="lowerLetter"/>
      <w:suff w:val="space"/>
      <w:lvlText w:val="%1."/>
      <w:lvlJc w:val="left"/>
    </w:lvl>
  </w:abstractNum>
  <w:abstractNum w:abstractNumId="1">
    <w:nsid w:val="2C42DE4A"/>
    <w:multiLevelType w:val="singleLevel"/>
    <w:tmpl w:val="2C42DE4A"/>
    <w:lvl w:ilvl="0" w:tentative="0">
      <w:start w:val="1"/>
      <w:numFmt w:val="decimal"/>
      <w:pStyle w:val="22"/>
      <w:lvlText w:val="%1."/>
      <w:lvlJc w:val="left"/>
      <w:pPr>
        <w:ind w:left="425" w:hanging="425"/>
      </w:pPr>
      <w:rPr>
        <w:rFonts w:hint="default"/>
      </w:rPr>
    </w:lvl>
  </w:abstractNum>
  <w:abstractNum w:abstractNumId="2">
    <w:nsid w:val="4437B390"/>
    <w:multiLevelType w:val="multilevel"/>
    <w:tmpl w:val="4437B390"/>
    <w:lvl w:ilvl="0" w:tentative="0">
      <w:start w:val="1"/>
      <w:numFmt w:val="chineseCounting"/>
      <w:pStyle w:val="3"/>
      <w:suff w:val="nothing"/>
      <w:lvlText w:val="第%1章 "/>
      <w:lvlJc w:val="left"/>
      <w:pPr>
        <w:tabs>
          <w:tab w:val="left" w:pos="0"/>
        </w:tabs>
        <w:ind w:left="0" w:firstLine="0"/>
      </w:pPr>
      <w:rPr>
        <w:rFonts w:hint="eastAsia" w:ascii="宋体" w:hAnsi="宋体" w:eastAsia="宋体" w:cs="宋体"/>
        <w:b/>
        <w:color w:val="000000"/>
        <w:sz w:val="28"/>
      </w:rPr>
    </w:lvl>
    <w:lvl w:ilvl="1" w:tentative="0">
      <w:start w:val="1"/>
      <w:numFmt w:val="decimal"/>
      <w:pStyle w:val="4"/>
      <w:isLgl/>
      <w:lvlText w:val="%1.%2."/>
      <w:lvlJc w:val="left"/>
      <w:pPr>
        <w:tabs>
          <w:tab w:val="left" w:pos="420"/>
        </w:tabs>
        <w:ind w:left="567" w:hanging="567"/>
      </w:pPr>
      <w:rPr>
        <w:rFonts w:hint="eastAsia" w:ascii="宋体" w:hAnsi="宋体" w:eastAsia="宋体" w:cs="宋体"/>
      </w:rPr>
    </w:lvl>
    <w:lvl w:ilvl="2" w:tentative="0">
      <w:start w:val="1"/>
      <w:numFmt w:val="decimal"/>
      <w:isLgl/>
      <w:lvlText w:val="%1.%2.%3."/>
      <w:lvlJc w:val="left"/>
      <w:pPr>
        <w:ind w:left="709" w:hanging="709"/>
      </w:pPr>
      <w:rPr>
        <w:rFonts w:hint="eastAsia" w:ascii="宋体" w:hAnsi="宋体" w:eastAsia="宋体" w:cs="宋体"/>
      </w:rPr>
    </w:lvl>
    <w:lvl w:ilvl="3" w:tentative="0">
      <w:start w:val="1"/>
      <w:numFmt w:val="decimal"/>
      <w:pStyle w:val="5"/>
      <w:isLgl/>
      <w:lvlText w:val="%1.%2.%3.%4."/>
      <w:lvlJc w:val="left"/>
      <w:pPr>
        <w:ind w:left="850" w:hanging="850"/>
      </w:pPr>
      <w:rPr>
        <w:rFonts w:hint="eastAsia" w:ascii="宋体" w:hAnsi="宋体" w:eastAsia="宋体" w:cs="宋体"/>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4FA066A2"/>
    <w:multiLevelType w:val="multilevel"/>
    <w:tmpl w:val="4FA066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QA04">
    <w15:presenceInfo w15:providerId="None" w15:userId="QA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JlNmY5NmYxODMzNGFiNGQwNjM2YmI3MjBlYzQ2NDkifQ=="/>
  </w:docVars>
  <w:rsids>
    <w:rsidRoot w:val="0031657D"/>
    <w:rsid w:val="00001B25"/>
    <w:rsid w:val="00004F6C"/>
    <w:rsid w:val="00155403"/>
    <w:rsid w:val="001D23E1"/>
    <w:rsid w:val="001F5D6C"/>
    <w:rsid w:val="00221CF4"/>
    <w:rsid w:val="00262CE5"/>
    <w:rsid w:val="0031657D"/>
    <w:rsid w:val="00321748"/>
    <w:rsid w:val="003F5D94"/>
    <w:rsid w:val="00413DF3"/>
    <w:rsid w:val="00527CBD"/>
    <w:rsid w:val="00592620"/>
    <w:rsid w:val="005D171D"/>
    <w:rsid w:val="00861F7F"/>
    <w:rsid w:val="008A4A86"/>
    <w:rsid w:val="008D504B"/>
    <w:rsid w:val="0093525E"/>
    <w:rsid w:val="00A64B7F"/>
    <w:rsid w:val="00AE2D79"/>
    <w:rsid w:val="00B157A2"/>
    <w:rsid w:val="00C372DC"/>
    <w:rsid w:val="00C536AC"/>
    <w:rsid w:val="00D50FD9"/>
    <w:rsid w:val="00EC1526"/>
    <w:rsid w:val="00F0275C"/>
    <w:rsid w:val="00F332B8"/>
    <w:rsid w:val="00FC5AF8"/>
    <w:rsid w:val="010A541A"/>
    <w:rsid w:val="010C555A"/>
    <w:rsid w:val="010E4FF9"/>
    <w:rsid w:val="0128046A"/>
    <w:rsid w:val="01CF154D"/>
    <w:rsid w:val="02AD2556"/>
    <w:rsid w:val="02CC44A1"/>
    <w:rsid w:val="02CD1F13"/>
    <w:rsid w:val="0333200C"/>
    <w:rsid w:val="0340421C"/>
    <w:rsid w:val="03582B96"/>
    <w:rsid w:val="03A34A22"/>
    <w:rsid w:val="03CF77F7"/>
    <w:rsid w:val="04136E7B"/>
    <w:rsid w:val="04573CF5"/>
    <w:rsid w:val="047A008E"/>
    <w:rsid w:val="048B17A1"/>
    <w:rsid w:val="049A72BB"/>
    <w:rsid w:val="04AA3A26"/>
    <w:rsid w:val="04AE3670"/>
    <w:rsid w:val="04FF037E"/>
    <w:rsid w:val="0570442B"/>
    <w:rsid w:val="058E3C42"/>
    <w:rsid w:val="05B1353B"/>
    <w:rsid w:val="05DB54BC"/>
    <w:rsid w:val="06291A17"/>
    <w:rsid w:val="06581AF4"/>
    <w:rsid w:val="0664445A"/>
    <w:rsid w:val="06832302"/>
    <w:rsid w:val="06E220D6"/>
    <w:rsid w:val="070A0B24"/>
    <w:rsid w:val="071E3483"/>
    <w:rsid w:val="07740BAF"/>
    <w:rsid w:val="078629E5"/>
    <w:rsid w:val="07E17CF2"/>
    <w:rsid w:val="07F9321E"/>
    <w:rsid w:val="080737D2"/>
    <w:rsid w:val="083C4931"/>
    <w:rsid w:val="085F360E"/>
    <w:rsid w:val="0864754B"/>
    <w:rsid w:val="08674270"/>
    <w:rsid w:val="08AF5387"/>
    <w:rsid w:val="08B851F2"/>
    <w:rsid w:val="08C36FAA"/>
    <w:rsid w:val="09185927"/>
    <w:rsid w:val="091B505B"/>
    <w:rsid w:val="095E69C2"/>
    <w:rsid w:val="096F5AC9"/>
    <w:rsid w:val="09CD0A4B"/>
    <w:rsid w:val="09D92D83"/>
    <w:rsid w:val="09F052AC"/>
    <w:rsid w:val="0A3144E0"/>
    <w:rsid w:val="0A487D8F"/>
    <w:rsid w:val="0A805D0D"/>
    <w:rsid w:val="0A9C249A"/>
    <w:rsid w:val="0AC84F74"/>
    <w:rsid w:val="0B2A3714"/>
    <w:rsid w:val="0B735CB3"/>
    <w:rsid w:val="0B810B8C"/>
    <w:rsid w:val="0B9E0BE4"/>
    <w:rsid w:val="0BB43039"/>
    <w:rsid w:val="0C061FF2"/>
    <w:rsid w:val="0C4523BB"/>
    <w:rsid w:val="0C4667E7"/>
    <w:rsid w:val="0C515ACB"/>
    <w:rsid w:val="0C58239B"/>
    <w:rsid w:val="0C767178"/>
    <w:rsid w:val="0C994C14"/>
    <w:rsid w:val="0C9F467C"/>
    <w:rsid w:val="0CE760D6"/>
    <w:rsid w:val="0CEA50F6"/>
    <w:rsid w:val="0D1160FA"/>
    <w:rsid w:val="0D2B584F"/>
    <w:rsid w:val="0D726C79"/>
    <w:rsid w:val="0D764DF9"/>
    <w:rsid w:val="0D9F3DF1"/>
    <w:rsid w:val="0E06203A"/>
    <w:rsid w:val="0E1E739B"/>
    <w:rsid w:val="0E2D7213"/>
    <w:rsid w:val="0E3C6138"/>
    <w:rsid w:val="0E4C7A95"/>
    <w:rsid w:val="0E645615"/>
    <w:rsid w:val="0E7A1D93"/>
    <w:rsid w:val="0EB977F0"/>
    <w:rsid w:val="0EC54C27"/>
    <w:rsid w:val="0F101237"/>
    <w:rsid w:val="0F216F8B"/>
    <w:rsid w:val="0F4032C2"/>
    <w:rsid w:val="0F52108C"/>
    <w:rsid w:val="0F6639D3"/>
    <w:rsid w:val="0F665979"/>
    <w:rsid w:val="0F7F6784"/>
    <w:rsid w:val="1034712E"/>
    <w:rsid w:val="10475242"/>
    <w:rsid w:val="107A6525"/>
    <w:rsid w:val="108D2CE2"/>
    <w:rsid w:val="10962C7F"/>
    <w:rsid w:val="10991A79"/>
    <w:rsid w:val="10B1077E"/>
    <w:rsid w:val="10BD2E39"/>
    <w:rsid w:val="10F260A2"/>
    <w:rsid w:val="110A7E55"/>
    <w:rsid w:val="110E3FBE"/>
    <w:rsid w:val="11166833"/>
    <w:rsid w:val="117B686E"/>
    <w:rsid w:val="11ED1C8A"/>
    <w:rsid w:val="120F57AC"/>
    <w:rsid w:val="12763021"/>
    <w:rsid w:val="12966783"/>
    <w:rsid w:val="12C745F9"/>
    <w:rsid w:val="12EF7D0F"/>
    <w:rsid w:val="13141499"/>
    <w:rsid w:val="131E036E"/>
    <w:rsid w:val="1336140F"/>
    <w:rsid w:val="136B55D2"/>
    <w:rsid w:val="137E6912"/>
    <w:rsid w:val="13D122F8"/>
    <w:rsid w:val="13DF522D"/>
    <w:rsid w:val="13F24062"/>
    <w:rsid w:val="14117786"/>
    <w:rsid w:val="148E0DD7"/>
    <w:rsid w:val="14A423A8"/>
    <w:rsid w:val="14BF3086"/>
    <w:rsid w:val="14CF3EBF"/>
    <w:rsid w:val="14E32745"/>
    <w:rsid w:val="14FD1CB2"/>
    <w:rsid w:val="1508448C"/>
    <w:rsid w:val="151101E4"/>
    <w:rsid w:val="151F5567"/>
    <w:rsid w:val="15205ED3"/>
    <w:rsid w:val="153E0344"/>
    <w:rsid w:val="155838BF"/>
    <w:rsid w:val="15593193"/>
    <w:rsid w:val="162639BD"/>
    <w:rsid w:val="17220202"/>
    <w:rsid w:val="173066B5"/>
    <w:rsid w:val="17924AE6"/>
    <w:rsid w:val="179B1650"/>
    <w:rsid w:val="17F84EE5"/>
    <w:rsid w:val="181A13D3"/>
    <w:rsid w:val="187850ED"/>
    <w:rsid w:val="18AD2173"/>
    <w:rsid w:val="18CF7941"/>
    <w:rsid w:val="194E6C3B"/>
    <w:rsid w:val="19702350"/>
    <w:rsid w:val="197F3FF6"/>
    <w:rsid w:val="19A03754"/>
    <w:rsid w:val="19A707F6"/>
    <w:rsid w:val="19B66A5A"/>
    <w:rsid w:val="1A0344CD"/>
    <w:rsid w:val="1A2226ED"/>
    <w:rsid w:val="1A386C13"/>
    <w:rsid w:val="1A560231"/>
    <w:rsid w:val="1AA96BB2"/>
    <w:rsid w:val="1AC128DD"/>
    <w:rsid w:val="1AD445C6"/>
    <w:rsid w:val="1AEF6A73"/>
    <w:rsid w:val="1B1F37B7"/>
    <w:rsid w:val="1B7818A0"/>
    <w:rsid w:val="1BC021BE"/>
    <w:rsid w:val="1BC02D69"/>
    <w:rsid w:val="1C450915"/>
    <w:rsid w:val="1C7F5E4C"/>
    <w:rsid w:val="1C817404"/>
    <w:rsid w:val="1C8555B0"/>
    <w:rsid w:val="1C9B325F"/>
    <w:rsid w:val="1CEE1ADE"/>
    <w:rsid w:val="1CF07304"/>
    <w:rsid w:val="1D0E64DC"/>
    <w:rsid w:val="1D181BB2"/>
    <w:rsid w:val="1D1A7884"/>
    <w:rsid w:val="1D2E3F6A"/>
    <w:rsid w:val="1D825771"/>
    <w:rsid w:val="1DAA6C81"/>
    <w:rsid w:val="1DAF3D07"/>
    <w:rsid w:val="1DBF5A73"/>
    <w:rsid w:val="1DC67833"/>
    <w:rsid w:val="1DD05A59"/>
    <w:rsid w:val="1DEA687D"/>
    <w:rsid w:val="1DEB1E71"/>
    <w:rsid w:val="1E00770A"/>
    <w:rsid w:val="1E326C77"/>
    <w:rsid w:val="1E7C4A48"/>
    <w:rsid w:val="1EB4368D"/>
    <w:rsid w:val="1ECF4752"/>
    <w:rsid w:val="1EFF03F0"/>
    <w:rsid w:val="1F153C69"/>
    <w:rsid w:val="1F2146BF"/>
    <w:rsid w:val="1F286C2A"/>
    <w:rsid w:val="1F2A6621"/>
    <w:rsid w:val="1F370138"/>
    <w:rsid w:val="1F5817E1"/>
    <w:rsid w:val="1F584062"/>
    <w:rsid w:val="1F6F6538"/>
    <w:rsid w:val="1F721A58"/>
    <w:rsid w:val="1FA82307"/>
    <w:rsid w:val="201E193D"/>
    <w:rsid w:val="20522E71"/>
    <w:rsid w:val="205A1F06"/>
    <w:rsid w:val="205E70D7"/>
    <w:rsid w:val="206236B6"/>
    <w:rsid w:val="20692E24"/>
    <w:rsid w:val="209C594A"/>
    <w:rsid w:val="20A41B57"/>
    <w:rsid w:val="20EB4EDE"/>
    <w:rsid w:val="21016664"/>
    <w:rsid w:val="210F2308"/>
    <w:rsid w:val="2123756A"/>
    <w:rsid w:val="213C2895"/>
    <w:rsid w:val="21504A68"/>
    <w:rsid w:val="21564CEE"/>
    <w:rsid w:val="216E0B21"/>
    <w:rsid w:val="2198641B"/>
    <w:rsid w:val="21A55E88"/>
    <w:rsid w:val="21C223E6"/>
    <w:rsid w:val="21DC4F15"/>
    <w:rsid w:val="220626C2"/>
    <w:rsid w:val="22307A5A"/>
    <w:rsid w:val="225F5E8B"/>
    <w:rsid w:val="22665141"/>
    <w:rsid w:val="22B65979"/>
    <w:rsid w:val="22D8424F"/>
    <w:rsid w:val="22DE1503"/>
    <w:rsid w:val="22EE23FA"/>
    <w:rsid w:val="23512D07"/>
    <w:rsid w:val="239B0224"/>
    <w:rsid w:val="23DD3144"/>
    <w:rsid w:val="240259CE"/>
    <w:rsid w:val="241E3F25"/>
    <w:rsid w:val="249F2BF5"/>
    <w:rsid w:val="24AD32DA"/>
    <w:rsid w:val="24BC132B"/>
    <w:rsid w:val="24CA5DC6"/>
    <w:rsid w:val="253A13A7"/>
    <w:rsid w:val="2566483D"/>
    <w:rsid w:val="25880BAC"/>
    <w:rsid w:val="25893620"/>
    <w:rsid w:val="259141CD"/>
    <w:rsid w:val="259C0A9D"/>
    <w:rsid w:val="25A46591"/>
    <w:rsid w:val="25B008FC"/>
    <w:rsid w:val="26280DF4"/>
    <w:rsid w:val="26365359"/>
    <w:rsid w:val="269F1442"/>
    <w:rsid w:val="26A93F17"/>
    <w:rsid w:val="26B17CA8"/>
    <w:rsid w:val="26D13F1F"/>
    <w:rsid w:val="277773B2"/>
    <w:rsid w:val="27981399"/>
    <w:rsid w:val="27B54A63"/>
    <w:rsid w:val="27DF19ED"/>
    <w:rsid w:val="27DF7465"/>
    <w:rsid w:val="27E30014"/>
    <w:rsid w:val="27ED0557"/>
    <w:rsid w:val="28047AAA"/>
    <w:rsid w:val="281E28BD"/>
    <w:rsid w:val="282D2ED9"/>
    <w:rsid w:val="28335DD2"/>
    <w:rsid w:val="285068AD"/>
    <w:rsid w:val="28A80261"/>
    <w:rsid w:val="28B81B7E"/>
    <w:rsid w:val="28C24E79"/>
    <w:rsid w:val="28D313CE"/>
    <w:rsid w:val="28E0226D"/>
    <w:rsid w:val="29313C6C"/>
    <w:rsid w:val="293821F1"/>
    <w:rsid w:val="29650277"/>
    <w:rsid w:val="296D5007"/>
    <w:rsid w:val="299F6AFE"/>
    <w:rsid w:val="29DB1668"/>
    <w:rsid w:val="2A0D358B"/>
    <w:rsid w:val="2A10161A"/>
    <w:rsid w:val="2A282FC7"/>
    <w:rsid w:val="2A3E3297"/>
    <w:rsid w:val="2A611F9B"/>
    <w:rsid w:val="2A8866AE"/>
    <w:rsid w:val="2AA85FE6"/>
    <w:rsid w:val="2AC37ABF"/>
    <w:rsid w:val="2AF10050"/>
    <w:rsid w:val="2B220826"/>
    <w:rsid w:val="2B2513C1"/>
    <w:rsid w:val="2B272186"/>
    <w:rsid w:val="2B290D8B"/>
    <w:rsid w:val="2B30567A"/>
    <w:rsid w:val="2B360F29"/>
    <w:rsid w:val="2B3D07AA"/>
    <w:rsid w:val="2B3F63F6"/>
    <w:rsid w:val="2B473575"/>
    <w:rsid w:val="2C0B5749"/>
    <w:rsid w:val="2C54393D"/>
    <w:rsid w:val="2CCA30B3"/>
    <w:rsid w:val="2D1F1822"/>
    <w:rsid w:val="2D675FF9"/>
    <w:rsid w:val="2DD84BEB"/>
    <w:rsid w:val="2DE312CD"/>
    <w:rsid w:val="2DE655AD"/>
    <w:rsid w:val="2DEF248E"/>
    <w:rsid w:val="2DF1367E"/>
    <w:rsid w:val="2DF61256"/>
    <w:rsid w:val="2E533769"/>
    <w:rsid w:val="2E574EF2"/>
    <w:rsid w:val="2E593EE3"/>
    <w:rsid w:val="2E68598C"/>
    <w:rsid w:val="2E6E416A"/>
    <w:rsid w:val="2EA27440"/>
    <w:rsid w:val="2EC9247C"/>
    <w:rsid w:val="2F3C7955"/>
    <w:rsid w:val="2F723377"/>
    <w:rsid w:val="2FF22AE2"/>
    <w:rsid w:val="3006424D"/>
    <w:rsid w:val="300C4D01"/>
    <w:rsid w:val="301272CF"/>
    <w:rsid w:val="3015555C"/>
    <w:rsid w:val="30155912"/>
    <w:rsid w:val="301B62DE"/>
    <w:rsid w:val="302661BA"/>
    <w:rsid w:val="303F04A4"/>
    <w:rsid w:val="30915A7F"/>
    <w:rsid w:val="30985912"/>
    <w:rsid w:val="30AA6B90"/>
    <w:rsid w:val="31507260"/>
    <w:rsid w:val="317D78BE"/>
    <w:rsid w:val="31CE64E6"/>
    <w:rsid w:val="31E71592"/>
    <w:rsid w:val="320A3CFF"/>
    <w:rsid w:val="322A1E2D"/>
    <w:rsid w:val="32341E01"/>
    <w:rsid w:val="32C77752"/>
    <w:rsid w:val="32CE4E89"/>
    <w:rsid w:val="32D6779A"/>
    <w:rsid w:val="332B002D"/>
    <w:rsid w:val="33423060"/>
    <w:rsid w:val="3350393A"/>
    <w:rsid w:val="335411FF"/>
    <w:rsid w:val="33AB3A1A"/>
    <w:rsid w:val="33B62F47"/>
    <w:rsid w:val="343422D4"/>
    <w:rsid w:val="344060EA"/>
    <w:rsid w:val="34A63039"/>
    <w:rsid w:val="34AA5967"/>
    <w:rsid w:val="34F368DB"/>
    <w:rsid w:val="3506618D"/>
    <w:rsid w:val="351C000D"/>
    <w:rsid w:val="357064DD"/>
    <w:rsid w:val="35EB1973"/>
    <w:rsid w:val="360F5977"/>
    <w:rsid w:val="36121E51"/>
    <w:rsid w:val="362032B8"/>
    <w:rsid w:val="363B13EE"/>
    <w:rsid w:val="365E5169"/>
    <w:rsid w:val="36845068"/>
    <w:rsid w:val="36C84607"/>
    <w:rsid w:val="36D06322"/>
    <w:rsid w:val="36D61574"/>
    <w:rsid w:val="371B46DA"/>
    <w:rsid w:val="375C2D9B"/>
    <w:rsid w:val="37645A3B"/>
    <w:rsid w:val="37705EC9"/>
    <w:rsid w:val="378801F5"/>
    <w:rsid w:val="37A06EAA"/>
    <w:rsid w:val="37A54D91"/>
    <w:rsid w:val="37DF63B2"/>
    <w:rsid w:val="37E11921"/>
    <w:rsid w:val="38115EC3"/>
    <w:rsid w:val="3822667F"/>
    <w:rsid w:val="382F5711"/>
    <w:rsid w:val="38323329"/>
    <w:rsid w:val="38486DD2"/>
    <w:rsid w:val="384F06F9"/>
    <w:rsid w:val="387A3768"/>
    <w:rsid w:val="38AA6A68"/>
    <w:rsid w:val="38B555EE"/>
    <w:rsid w:val="38BD7F70"/>
    <w:rsid w:val="38D4425E"/>
    <w:rsid w:val="39285AB2"/>
    <w:rsid w:val="3958789E"/>
    <w:rsid w:val="395B1E22"/>
    <w:rsid w:val="397762C3"/>
    <w:rsid w:val="398402F3"/>
    <w:rsid w:val="39A8421B"/>
    <w:rsid w:val="39ED0F9C"/>
    <w:rsid w:val="3A114E8D"/>
    <w:rsid w:val="3A3B3062"/>
    <w:rsid w:val="3A813A59"/>
    <w:rsid w:val="3AB5753B"/>
    <w:rsid w:val="3AC5194D"/>
    <w:rsid w:val="3B201ED9"/>
    <w:rsid w:val="3B236660"/>
    <w:rsid w:val="3B4F7810"/>
    <w:rsid w:val="3B625369"/>
    <w:rsid w:val="3B894744"/>
    <w:rsid w:val="3BAA7D33"/>
    <w:rsid w:val="3BFE1F56"/>
    <w:rsid w:val="3C0B363B"/>
    <w:rsid w:val="3C3B16E8"/>
    <w:rsid w:val="3C436C4E"/>
    <w:rsid w:val="3C6F136A"/>
    <w:rsid w:val="3C923802"/>
    <w:rsid w:val="3CAF5C0A"/>
    <w:rsid w:val="3CDC3109"/>
    <w:rsid w:val="3CF10CDC"/>
    <w:rsid w:val="3D05672E"/>
    <w:rsid w:val="3D4F6C64"/>
    <w:rsid w:val="3D6D0279"/>
    <w:rsid w:val="3D85270C"/>
    <w:rsid w:val="3DA66B67"/>
    <w:rsid w:val="3DB76EE0"/>
    <w:rsid w:val="3DF90723"/>
    <w:rsid w:val="3E2B66DA"/>
    <w:rsid w:val="3EC53648"/>
    <w:rsid w:val="3EE6053C"/>
    <w:rsid w:val="3EEB6C17"/>
    <w:rsid w:val="3EF47905"/>
    <w:rsid w:val="3F0B4C4E"/>
    <w:rsid w:val="3F1F56B1"/>
    <w:rsid w:val="3F864BA4"/>
    <w:rsid w:val="3F87704C"/>
    <w:rsid w:val="3FA356C5"/>
    <w:rsid w:val="3FA615BC"/>
    <w:rsid w:val="3FBD3932"/>
    <w:rsid w:val="3FDD04B3"/>
    <w:rsid w:val="3FEE07F8"/>
    <w:rsid w:val="3FEF0EFA"/>
    <w:rsid w:val="40055B41"/>
    <w:rsid w:val="402D3EAF"/>
    <w:rsid w:val="40625AF1"/>
    <w:rsid w:val="40E019BE"/>
    <w:rsid w:val="41216169"/>
    <w:rsid w:val="413310F4"/>
    <w:rsid w:val="41614AA8"/>
    <w:rsid w:val="418C3FA1"/>
    <w:rsid w:val="4193231D"/>
    <w:rsid w:val="419444EA"/>
    <w:rsid w:val="419778AE"/>
    <w:rsid w:val="41D41C6F"/>
    <w:rsid w:val="421A1C49"/>
    <w:rsid w:val="42A70244"/>
    <w:rsid w:val="42C71633"/>
    <w:rsid w:val="42D03721"/>
    <w:rsid w:val="42D54830"/>
    <w:rsid w:val="42E3761B"/>
    <w:rsid w:val="42F86069"/>
    <w:rsid w:val="434A594E"/>
    <w:rsid w:val="43B14016"/>
    <w:rsid w:val="43C3539A"/>
    <w:rsid w:val="441B1787"/>
    <w:rsid w:val="44374B73"/>
    <w:rsid w:val="44533872"/>
    <w:rsid w:val="447358E1"/>
    <w:rsid w:val="4493196E"/>
    <w:rsid w:val="449A1B2E"/>
    <w:rsid w:val="44AC4635"/>
    <w:rsid w:val="44EF3227"/>
    <w:rsid w:val="455606F7"/>
    <w:rsid w:val="4577303D"/>
    <w:rsid w:val="4690255E"/>
    <w:rsid w:val="469330D2"/>
    <w:rsid w:val="46C71A07"/>
    <w:rsid w:val="46D56469"/>
    <w:rsid w:val="46E97F6B"/>
    <w:rsid w:val="47981B1F"/>
    <w:rsid w:val="47C7611D"/>
    <w:rsid w:val="4840638E"/>
    <w:rsid w:val="48AA1F4D"/>
    <w:rsid w:val="490C4BDC"/>
    <w:rsid w:val="494F5429"/>
    <w:rsid w:val="4953791E"/>
    <w:rsid w:val="495F1A08"/>
    <w:rsid w:val="49E92686"/>
    <w:rsid w:val="4A14154B"/>
    <w:rsid w:val="4A475C9C"/>
    <w:rsid w:val="4A653DFE"/>
    <w:rsid w:val="4AA1501A"/>
    <w:rsid w:val="4AAA61F4"/>
    <w:rsid w:val="4AB90353"/>
    <w:rsid w:val="4AC972C8"/>
    <w:rsid w:val="4AD856C1"/>
    <w:rsid w:val="4AFD0A37"/>
    <w:rsid w:val="4B1B40BC"/>
    <w:rsid w:val="4B2B5EE6"/>
    <w:rsid w:val="4B310015"/>
    <w:rsid w:val="4B3328C0"/>
    <w:rsid w:val="4B34635B"/>
    <w:rsid w:val="4B827BA6"/>
    <w:rsid w:val="4B841402"/>
    <w:rsid w:val="4BB00B7D"/>
    <w:rsid w:val="4C1B72C5"/>
    <w:rsid w:val="4C3C0C7A"/>
    <w:rsid w:val="4C465518"/>
    <w:rsid w:val="4CAF0469"/>
    <w:rsid w:val="4CEC6BD9"/>
    <w:rsid w:val="4D762FA9"/>
    <w:rsid w:val="4D764DF5"/>
    <w:rsid w:val="4DC64B62"/>
    <w:rsid w:val="4DE838AC"/>
    <w:rsid w:val="4DED6593"/>
    <w:rsid w:val="4E0C5424"/>
    <w:rsid w:val="4E4E4984"/>
    <w:rsid w:val="4E617953"/>
    <w:rsid w:val="4EAE5C1B"/>
    <w:rsid w:val="4EB86BA1"/>
    <w:rsid w:val="4EFA3C3E"/>
    <w:rsid w:val="4F0516BA"/>
    <w:rsid w:val="4F216A61"/>
    <w:rsid w:val="4F594C34"/>
    <w:rsid w:val="4F6C34E7"/>
    <w:rsid w:val="4F6D3F89"/>
    <w:rsid w:val="4F713D48"/>
    <w:rsid w:val="4F826617"/>
    <w:rsid w:val="4FA72771"/>
    <w:rsid w:val="4FE93076"/>
    <w:rsid w:val="4FF5113F"/>
    <w:rsid w:val="505A4AE2"/>
    <w:rsid w:val="50685BF3"/>
    <w:rsid w:val="50990AF6"/>
    <w:rsid w:val="50C43019"/>
    <w:rsid w:val="50DF55B6"/>
    <w:rsid w:val="510E1E6E"/>
    <w:rsid w:val="5117392E"/>
    <w:rsid w:val="511B6213"/>
    <w:rsid w:val="517118A1"/>
    <w:rsid w:val="51AA0552"/>
    <w:rsid w:val="51E45670"/>
    <w:rsid w:val="51F36181"/>
    <w:rsid w:val="5217238E"/>
    <w:rsid w:val="52361EA0"/>
    <w:rsid w:val="524532DC"/>
    <w:rsid w:val="52513F0F"/>
    <w:rsid w:val="526C7B62"/>
    <w:rsid w:val="52AA4A52"/>
    <w:rsid w:val="52BB5D79"/>
    <w:rsid w:val="52BC060D"/>
    <w:rsid w:val="530323B4"/>
    <w:rsid w:val="531D4BDA"/>
    <w:rsid w:val="532355F8"/>
    <w:rsid w:val="532363DA"/>
    <w:rsid w:val="53B57BBD"/>
    <w:rsid w:val="54091EC2"/>
    <w:rsid w:val="540B1B91"/>
    <w:rsid w:val="5459668D"/>
    <w:rsid w:val="54874996"/>
    <w:rsid w:val="548B440F"/>
    <w:rsid w:val="54A54418"/>
    <w:rsid w:val="54D77835"/>
    <w:rsid w:val="555A5226"/>
    <w:rsid w:val="56536767"/>
    <w:rsid w:val="568B7BA1"/>
    <w:rsid w:val="56B567AF"/>
    <w:rsid w:val="56E2080F"/>
    <w:rsid w:val="56F05B65"/>
    <w:rsid w:val="574F3E1A"/>
    <w:rsid w:val="57A34E54"/>
    <w:rsid w:val="57BB500C"/>
    <w:rsid w:val="58291459"/>
    <w:rsid w:val="588E5950"/>
    <w:rsid w:val="58C25D8C"/>
    <w:rsid w:val="590D2151"/>
    <w:rsid w:val="590E2E17"/>
    <w:rsid w:val="596F3163"/>
    <w:rsid w:val="59851D75"/>
    <w:rsid w:val="599C7A7F"/>
    <w:rsid w:val="59B368E2"/>
    <w:rsid w:val="59B70776"/>
    <w:rsid w:val="59BF000E"/>
    <w:rsid w:val="5A4F6F18"/>
    <w:rsid w:val="5A613FAA"/>
    <w:rsid w:val="5B0C6BFA"/>
    <w:rsid w:val="5B1C69F0"/>
    <w:rsid w:val="5B24111A"/>
    <w:rsid w:val="5B3B35E7"/>
    <w:rsid w:val="5B4F1F89"/>
    <w:rsid w:val="5BC76675"/>
    <w:rsid w:val="5BD2266A"/>
    <w:rsid w:val="5BDC41A3"/>
    <w:rsid w:val="5BE723F2"/>
    <w:rsid w:val="5BEC0B30"/>
    <w:rsid w:val="5C3815E6"/>
    <w:rsid w:val="5CA94750"/>
    <w:rsid w:val="5CB53F4E"/>
    <w:rsid w:val="5D24563D"/>
    <w:rsid w:val="5D252F8E"/>
    <w:rsid w:val="5D58432B"/>
    <w:rsid w:val="5D5850AB"/>
    <w:rsid w:val="5D7B0672"/>
    <w:rsid w:val="5D9A6CA9"/>
    <w:rsid w:val="5DE20602"/>
    <w:rsid w:val="5E03770C"/>
    <w:rsid w:val="5E816EAA"/>
    <w:rsid w:val="5E833F89"/>
    <w:rsid w:val="5EB033F0"/>
    <w:rsid w:val="5EF11C2B"/>
    <w:rsid w:val="5FA668D5"/>
    <w:rsid w:val="5FC75F03"/>
    <w:rsid w:val="600B5927"/>
    <w:rsid w:val="607F2BB6"/>
    <w:rsid w:val="60AC3027"/>
    <w:rsid w:val="60B472BC"/>
    <w:rsid w:val="60FF7A4D"/>
    <w:rsid w:val="61084735"/>
    <w:rsid w:val="614573D0"/>
    <w:rsid w:val="617563F1"/>
    <w:rsid w:val="61885C49"/>
    <w:rsid w:val="618C46F3"/>
    <w:rsid w:val="618F2711"/>
    <w:rsid w:val="61C827FF"/>
    <w:rsid w:val="62116C55"/>
    <w:rsid w:val="6213333D"/>
    <w:rsid w:val="6281569B"/>
    <w:rsid w:val="62AD18E7"/>
    <w:rsid w:val="62B24C67"/>
    <w:rsid w:val="62DE329C"/>
    <w:rsid w:val="62F91C6B"/>
    <w:rsid w:val="632807B9"/>
    <w:rsid w:val="6336450B"/>
    <w:rsid w:val="6366774C"/>
    <w:rsid w:val="63827325"/>
    <w:rsid w:val="63D913EB"/>
    <w:rsid w:val="6408206B"/>
    <w:rsid w:val="643D3F82"/>
    <w:rsid w:val="64746C6E"/>
    <w:rsid w:val="649B57AE"/>
    <w:rsid w:val="64A51B2D"/>
    <w:rsid w:val="64B0555C"/>
    <w:rsid w:val="64BE7BC7"/>
    <w:rsid w:val="64E04304"/>
    <w:rsid w:val="64EF2C91"/>
    <w:rsid w:val="65381DA1"/>
    <w:rsid w:val="65B254BB"/>
    <w:rsid w:val="65D81C25"/>
    <w:rsid w:val="66056C42"/>
    <w:rsid w:val="667967BE"/>
    <w:rsid w:val="66927D2C"/>
    <w:rsid w:val="66D70628"/>
    <w:rsid w:val="66D8766C"/>
    <w:rsid w:val="66E520A5"/>
    <w:rsid w:val="66FC4CE4"/>
    <w:rsid w:val="673E700C"/>
    <w:rsid w:val="6771251F"/>
    <w:rsid w:val="678B0648"/>
    <w:rsid w:val="67916B12"/>
    <w:rsid w:val="67AD7FF2"/>
    <w:rsid w:val="67BC46BE"/>
    <w:rsid w:val="67BD458E"/>
    <w:rsid w:val="67C12792"/>
    <w:rsid w:val="67C65025"/>
    <w:rsid w:val="6823411E"/>
    <w:rsid w:val="68501ABE"/>
    <w:rsid w:val="68825E00"/>
    <w:rsid w:val="68937806"/>
    <w:rsid w:val="68B202B8"/>
    <w:rsid w:val="68D57ACB"/>
    <w:rsid w:val="68FD08FD"/>
    <w:rsid w:val="69307C4E"/>
    <w:rsid w:val="6949630A"/>
    <w:rsid w:val="69982EE8"/>
    <w:rsid w:val="69B355DB"/>
    <w:rsid w:val="69BB3C65"/>
    <w:rsid w:val="69CC3CFB"/>
    <w:rsid w:val="69F724EB"/>
    <w:rsid w:val="6A0F12CA"/>
    <w:rsid w:val="6A267047"/>
    <w:rsid w:val="6A791E65"/>
    <w:rsid w:val="6A875EE9"/>
    <w:rsid w:val="6AAB6FD1"/>
    <w:rsid w:val="6AB94166"/>
    <w:rsid w:val="6B3358AF"/>
    <w:rsid w:val="6B5B1FB4"/>
    <w:rsid w:val="6B5D35E8"/>
    <w:rsid w:val="6B627379"/>
    <w:rsid w:val="6B7A209E"/>
    <w:rsid w:val="6B894226"/>
    <w:rsid w:val="6BB46655"/>
    <w:rsid w:val="6BFD77A4"/>
    <w:rsid w:val="6C363734"/>
    <w:rsid w:val="6C5D58A2"/>
    <w:rsid w:val="6C9D6A52"/>
    <w:rsid w:val="6CAF38B6"/>
    <w:rsid w:val="6CBB2BA2"/>
    <w:rsid w:val="6CCC589B"/>
    <w:rsid w:val="6CE26598"/>
    <w:rsid w:val="6D3E250F"/>
    <w:rsid w:val="6D48772F"/>
    <w:rsid w:val="6D5272DF"/>
    <w:rsid w:val="6D662CA6"/>
    <w:rsid w:val="6D761CA9"/>
    <w:rsid w:val="6D800432"/>
    <w:rsid w:val="6DAE1DA6"/>
    <w:rsid w:val="6DF171BC"/>
    <w:rsid w:val="6DFD489E"/>
    <w:rsid w:val="6E045139"/>
    <w:rsid w:val="6E5D7048"/>
    <w:rsid w:val="6E666F62"/>
    <w:rsid w:val="6E6715F2"/>
    <w:rsid w:val="6E9F3C51"/>
    <w:rsid w:val="6EAC2971"/>
    <w:rsid w:val="6F1E7F02"/>
    <w:rsid w:val="6F4A0C5D"/>
    <w:rsid w:val="6F557227"/>
    <w:rsid w:val="6F6D7239"/>
    <w:rsid w:val="6F74653C"/>
    <w:rsid w:val="6FBC4ED7"/>
    <w:rsid w:val="6FF73318"/>
    <w:rsid w:val="700F3CEF"/>
    <w:rsid w:val="702B71E2"/>
    <w:rsid w:val="70400DDF"/>
    <w:rsid w:val="705F681F"/>
    <w:rsid w:val="70AA704A"/>
    <w:rsid w:val="70B90B4E"/>
    <w:rsid w:val="70DF7A50"/>
    <w:rsid w:val="70EB1E97"/>
    <w:rsid w:val="70F20C0F"/>
    <w:rsid w:val="71445244"/>
    <w:rsid w:val="71994734"/>
    <w:rsid w:val="71A90C47"/>
    <w:rsid w:val="71F74972"/>
    <w:rsid w:val="72103F0B"/>
    <w:rsid w:val="722412A1"/>
    <w:rsid w:val="72303F46"/>
    <w:rsid w:val="7253565E"/>
    <w:rsid w:val="726C71D7"/>
    <w:rsid w:val="726F6CC7"/>
    <w:rsid w:val="7298763E"/>
    <w:rsid w:val="729A00C3"/>
    <w:rsid w:val="729C3F60"/>
    <w:rsid w:val="72B45EED"/>
    <w:rsid w:val="72DC10CC"/>
    <w:rsid w:val="72DF5878"/>
    <w:rsid w:val="7307318C"/>
    <w:rsid w:val="731F77A2"/>
    <w:rsid w:val="73426CAC"/>
    <w:rsid w:val="73AB7740"/>
    <w:rsid w:val="73BC271A"/>
    <w:rsid w:val="73CE6F8A"/>
    <w:rsid w:val="73D84708"/>
    <w:rsid w:val="741438C2"/>
    <w:rsid w:val="74170723"/>
    <w:rsid w:val="74265318"/>
    <w:rsid w:val="74486D25"/>
    <w:rsid w:val="745130F8"/>
    <w:rsid w:val="74740BA4"/>
    <w:rsid w:val="749B464A"/>
    <w:rsid w:val="74A565CD"/>
    <w:rsid w:val="74B03A1D"/>
    <w:rsid w:val="74C65ACD"/>
    <w:rsid w:val="74C762A4"/>
    <w:rsid w:val="74E53270"/>
    <w:rsid w:val="74EF59B8"/>
    <w:rsid w:val="75354AE0"/>
    <w:rsid w:val="753F6E24"/>
    <w:rsid w:val="75524155"/>
    <w:rsid w:val="755300CB"/>
    <w:rsid w:val="7564418D"/>
    <w:rsid w:val="758000A0"/>
    <w:rsid w:val="75B44F68"/>
    <w:rsid w:val="75DC4F49"/>
    <w:rsid w:val="75E672A0"/>
    <w:rsid w:val="75FF3BCF"/>
    <w:rsid w:val="764E2556"/>
    <w:rsid w:val="76604044"/>
    <w:rsid w:val="76713CE2"/>
    <w:rsid w:val="76820969"/>
    <w:rsid w:val="76B32088"/>
    <w:rsid w:val="76E3332D"/>
    <w:rsid w:val="772207AC"/>
    <w:rsid w:val="772C5186"/>
    <w:rsid w:val="772E0EFE"/>
    <w:rsid w:val="77391D15"/>
    <w:rsid w:val="7768785E"/>
    <w:rsid w:val="7769462C"/>
    <w:rsid w:val="777A2396"/>
    <w:rsid w:val="77B37656"/>
    <w:rsid w:val="7832005E"/>
    <w:rsid w:val="78377390"/>
    <w:rsid w:val="783F628E"/>
    <w:rsid w:val="786A5B4B"/>
    <w:rsid w:val="78B0681C"/>
    <w:rsid w:val="78C064CE"/>
    <w:rsid w:val="794B3FEA"/>
    <w:rsid w:val="7951546D"/>
    <w:rsid w:val="7A406AB0"/>
    <w:rsid w:val="7A6D1882"/>
    <w:rsid w:val="7A732A31"/>
    <w:rsid w:val="7A97325F"/>
    <w:rsid w:val="7ACA53E2"/>
    <w:rsid w:val="7AE446F6"/>
    <w:rsid w:val="7AF62794"/>
    <w:rsid w:val="7B0F6BC4"/>
    <w:rsid w:val="7B6307D6"/>
    <w:rsid w:val="7BCA2175"/>
    <w:rsid w:val="7C09744D"/>
    <w:rsid w:val="7C9E2682"/>
    <w:rsid w:val="7CA8482B"/>
    <w:rsid w:val="7CB00608"/>
    <w:rsid w:val="7CB349D8"/>
    <w:rsid w:val="7CEF18DF"/>
    <w:rsid w:val="7CFA11FE"/>
    <w:rsid w:val="7D125B46"/>
    <w:rsid w:val="7D2E757A"/>
    <w:rsid w:val="7D517499"/>
    <w:rsid w:val="7D5B0573"/>
    <w:rsid w:val="7DC0487A"/>
    <w:rsid w:val="7DE63AB8"/>
    <w:rsid w:val="7DF23F6C"/>
    <w:rsid w:val="7E0D3F64"/>
    <w:rsid w:val="7E0F1084"/>
    <w:rsid w:val="7E1C7D03"/>
    <w:rsid w:val="7E21356B"/>
    <w:rsid w:val="7E3461CD"/>
    <w:rsid w:val="7E843514"/>
    <w:rsid w:val="7EA209D9"/>
    <w:rsid w:val="7EA304F8"/>
    <w:rsid w:val="7F063867"/>
    <w:rsid w:val="7F486550"/>
    <w:rsid w:val="7F6F1E87"/>
    <w:rsid w:val="7FC94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spacing w:before="62" w:beforeLines="20" w:after="62" w:afterLines="20" w:line="360" w:lineRule="auto"/>
      <w:ind w:firstLine="420"/>
      <w:jc w:val="both"/>
      <w:pPrChange w:id="0" w:author="hong jie" w:date="2024-01-24T08:41:00Z">
        <w:pPr>
          <w:widowControl w:val="0"/>
          <w:spacing w:line="360" w:lineRule="auto"/>
          <w:jc w:val="both"/>
        </w:pPr>
      </w:pPrChange>
    </w:pPr>
    <w:rPr>
      <w:rFonts w:ascii="Times New Roman" w:hAnsi="Times New Roman" w:eastAsia="宋体" w:cs="Times New Roman"/>
      <w:kern w:val="2"/>
      <w:sz w:val="21"/>
      <w:szCs w:val="22"/>
      <w:lang w:val="en-US" w:eastAsia="zh-CN" w:bidi="ar-SA"/>
      <w:rPrChange w:id="1" w:author="hong jie" w:date="2024-01-24T08:41:00Z">
        <w:rPr>
          <w:rFonts w:eastAsia="宋体"/>
          <w:kern w:val="2"/>
          <w:sz w:val="21"/>
          <w:szCs w:val="22"/>
          <w:lang w:val="en-US" w:eastAsia="zh-CN" w:bidi="ar-SA"/>
        </w:rPr>
      </w:rPrChange>
    </w:rPr>
  </w:style>
  <w:style w:type="paragraph" w:styleId="3">
    <w:name w:val="heading 1"/>
    <w:basedOn w:val="1"/>
    <w:next w:val="1"/>
    <w:autoRedefine/>
    <w:qFormat/>
    <w:uiPriority w:val="0"/>
    <w:pPr>
      <w:keepNext/>
      <w:keepLines/>
      <w:numPr>
        <w:ilvl w:val="0"/>
        <w:numId w:val="1"/>
      </w:numPr>
      <w:spacing w:before="340" w:after="330"/>
      <w:jc w:val="center"/>
      <w:outlineLvl w:val="0"/>
    </w:pPr>
    <w:rPr>
      <w:b/>
      <w:kern w:val="44"/>
      <w:sz w:val="28"/>
      <w:szCs w:val="20"/>
    </w:rPr>
  </w:style>
  <w:style w:type="paragraph" w:styleId="4">
    <w:name w:val="heading 2"/>
    <w:basedOn w:val="1"/>
    <w:next w:val="1"/>
    <w:autoRedefine/>
    <w:unhideWhenUsed/>
    <w:qFormat/>
    <w:uiPriority w:val="9"/>
    <w:pPr>
      <w:keepNext/>
      <w:keepLines/>
      <w:numPr>
        <w:ilvl w:val="1"/>
        <w:numId w:val="1"/>
      </w:numPr>
      <w:spacing w:before="260" w:after="260"/>
      <w:outlineLvl w:val="1"/>
    </w:pPr>
    <w:rPr>
      <w:rFonts w:ascii="Cambria" w:hAnsi="Cambria"/>
      <w:b/>
      <w:bCs/>
      <w:sz w:val="24"/>
      <w:szCs w:val="32"/>
    </w:rPr>
  </w:style>
  <w:style w:type="paragraph" w:styleId="5">
    <w:name w:val="heading 4"/>
    <w:basedOn w:val="1"/>
    <w:next w:val="1"/>
    <w:unhideWhenUsed/>
    <w:qFormat/>
    <w:uiPriority w:val="9"/>
    <w:pPr>
      <w:keepNext/>
      <w:keepLines/>
      <w:numPr>
        <w:ilvl w:val="3"/>
        <w:numId w:val="1"/>
      </w:numPr>
      <w:spacing w:before="280" w:after="290" w:line="376" w:lineRule="auto"/>
      <w:outlineLvl w:val="3"/>
    </w:pPr>
    <w:rPr>
      <w:rFonts w:ascii="Cambria" w:hAnsi="Cambria"/>
      <w:b/>
      <w:bCs/>
      <w:szCs w:val="28"/>
    </w:rPr>
  </w:style>
  <w:style w:type="character" w:default="1" w:styleId="14">
    <w:name w:val="Default Paragraph Font"/>
    <w:autoRedefine/>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2">
    <w:name w:val="Block Text"/>
    <w:basedOn w:val="1"/>
    <w:autoRedefine/>
    <w:qFormat/>
    <w:uiPriority w:val="0"/>
    <w:pPr>
      <w:spacing w:after="120"/>
      <w:ind w:left="1440" w:leftChars="700" w:right="700" w:rightChars="700"/>
    </w:p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autoRedefine/>
    <w:qFormat/>
    <w:uiPriority w:val="0"/>
    <w:pPr>
      <w:jc w:val="left"/>
    </w:pPr>
  </w:style>
  <w:style w:type="paragraph" w:styleId="8">
    <w:name w:val="footer"/>
    <w:basedOn w:val="1"/>
    <w:autoRedefine/>
    <w:qFormat/>
    <w:uiPriority w:val="0"/>
    <w:pPr>
      <w:tabs>
        <w:tab w:val="center" w:pos="4153"/>
        <w:tab w:val="right" w:pos="8306"/>
      </w:tabs>
      <w:snapToGrid w:val="0"/>
      <w:jc w:val="left"/>
    </w:pPr>
    <w:rPr>
      <w:sz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style>
  <w:style w:type="paragraph" w:styleId="11">
    <w:name w:val="toc 2"/>
    <w:basedOn w:val="1"/>
    <w:next w:val="1"/>
    <w:autoRedefine/>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qFormat/>
    <w:uiPriority w:val="0"/>
    <w:rPr>
      <w:sz w:val="16"/>
      <w:szCs w:val="16"/>
    </w:rPr>
  </w:style>
  <w:style w:type="paragraph" w:customStyle="1" w:styleId="16">
    <w:name w:val="Table Paragraph"/>
    <w:basedOn w:val="1"/>
    <w:qFormat/>
    <w:uiPriority w:val="1"/>
    <w:pPr>
      <w:autoSpaceDE w:val="0"/>
      <w:autoSpaceDN w:val="0"/>
      <w:jc w:val="left"/>
    </w:pPr>
    <w:rPr>
      <w:rFonts w:ascii="宋体" w:hAnsi="宋体" w:cs="宋体"/>
      <w:kern w:val="0"/>
      <w:sz w:val="22"/>
      <w:lang w:val="zh-CN" w:bidi="zh-CN"/>
    </w:rPr>
  </w:style>
  <w:style w:type="character" w:customStyle="1" w:styleId="17">
    <w:name w:val="font41"/>
    <w:basedOn w:val="14"/>
    <w:qFormat/>
    <w:uiPriority w:val="0"/>
    <w:rPr>
      <w:rFonts w:hint="eastAsia" w:ascii="宋体" w:hAnsi="宋体" w:eastAsia="宋体" w:cs="宋体"/>
      <w:color w:val="000000"/>
      <w:sz w:val="21"/>
      <w:szCs w:val="21"/>
      <w:u w:val="none"/>
    </w:rPr>
  </w:style>
  <w:style w:type="character" w:customStyle="1" w:styleId="18">
    <w:name w:val="font01"/>
    <w:basedOn w:val="14"/>
    <w:autoRedefine/>
    <w:qFormat/>
    <w:uiPriority w:val="0"/>
    <w:rPr>
      <w:rFonts w:hint="default" w:ascii="Times New Roman" w:hAnsi="Times New Roman" w:cs="Times New Roman"/>
      <w:color w:val="000000"/>
      <w:sz w:val="21"/>
      <w:szCs w:val="21"/>
      <w:u w:val="none"/>
    </w:rPr>
  </w:style>
  <w:style w:type="character" w:customStyle="1" w:styleId="19">
    <w:name w:val="font11"/>
    <w:basedOn w:val="14"/>
    <w:autoRedefine/>
    <w:qFormat/>
    <w:uiPriority w:val="0"/>
    <w:rPr>
      <w:rFonts w:hint="default" w:ascii="Calibri" w:hAnsi="Calibri" w:cs="Calibri"/>
      <w:color w:val="000000"/>
      <w:sz w:val="21"/>
      <w:szCs w:val="21"/>
      <w:u w:val="none"/>
    </w:rPr>
  </w:style>
  <w:style w:type="paragraph" w:customStyle="1" w:styleId="20">
    <w:name w:val="WPSOffice手动目录 1"/>
    <w:autoRedefine/>
    <w:qFormat/>
    <w:uiPriority w:val="0"/>
    <w:rPr>
      <w:rFonts w:asciiTheme="minorHAnsi" w:hAnsiTheme="minorHAnsi" w:eastAsiaTheme="minorEastAsia" w:cstheme="minorBidi"/>
      <w:lang w:val="en-US" w:eastAsia="zh-CN" w:bidi="ar-SA"/>
    </w:rPr>
  </w:style>
  <w:style w:type="paragraph" w:customStyle="1" w:styleId="21">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styleId="22">
    <w:name w:val="List Paragraph"/>
    <w:basedOn w:val="1"/>
    <w:autoRedefine/>
    <w:qFormat/>
    <w:uiPriority w:val="34"/>
    <w:pPr>
      <w:widowControl/>
      <w:numPr>
        <w:ilvl w:val="0"/>
        <w:numId w:val="2"/>
      </w:numPr>
      <w:spacing w:line="259" w:lineRule="auto"/>
      <w:contextualSpacing/>
      <w:jc w:val="left"/>
      <w:pPrChange w:id="2" w:author="hong jie" w:date="2024-01-24T08:43:00Z">
        <w:pPr>
          <w:spacing w:before="62" w:beforeLines="20" w:after="160" w:afterLines="20" w:line="259" w:lineRule="auto"/>
          <w:ind w:left="720" w:firstLine="420"/>
          <w:contextualSpacing/>
        </w:pPr>
      </w:pPrChange>
    </w:pPr>
    <w:rPr>
      <w:rFonts w:asciiTheme="minorHAnsi" w:hAnsiTheme="minorHAnsi" w:eastAsiaTheme="minorEastAsia" w:cstheme="minorBidi"/>
      <w:kern w:val="0"/>
      <w:sz w:val="22"/>
      <w:rPrChange w:id="3" w:author="hong jie" w:date="2024-01-24T08:43:00Z">
        <w:rPr>
          <w:rFonts w:asciiTheme="minorHAnsi" w:hAnsiTheme="minorHAnsi" w:eastAsiaTheme="minorEastAsia" w:cstheme="minorBidi"/>
          <w:sz w:val="22"/>
          <w:szCs w:val="22"/>
          <w:lang w:val="en-US" w:eastAsia="zh-CN" w:bidi="ar-SA"/>
        </w:rPr>
      </w:rPrChange>
    </w:rPr>
  </w:style>
  <w:style w:type="paragraph" w:customStyle="1" w:styleId="23">
    <w:name w:val="Revision1"/>
    <w:hidden/>
    <w:unhideWhenUsed/>
    <w:qFormat/>
    <w:uiPriority w:val="99"/>
    <w:rPr>
      <w:rFonts w:ascii="Times New Roman" w:hAnsi="Times New Roman" w:eastAsia="宋体" w:cs="Times New Roman"/>
      <w:kern w:val="2"/>
      <w:sz w:val="21"/>
      <w:szCs w:val="22"/>
      <w:lang w:val="en-US" w:eastAsia="zh-CN" w:bidi="ar-SA"/>
    </w:rPr>
  </w:style>
  <w:style w:type="paragraph" w:customStyle="1" w:styleId="24">
    <w:name w:val="Revision"/>
    <w:autoRedefine/>
    <w:hidden/>
    <w:unhideWhenUsed/>
    <w:qFormat/>
    <w:uiPriority w:val="99"/>
    <w:rPr>
      <w:rFonts w:ascii="Times New Roman" w:hAnsi="Times New Roman"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9.emf"/><Relationship Id="rId3" Type="http://schemas.openxmlformats.org/officeDocument/2006/relationships/comments" Target="comments.xml"/><Relationship Id="rId29" Type="http://schemas.openxmlformats.org/officeDocument/2006/relationships/oleObject" Target="embeddings/oleObject9.bin"/><Relationship Id="rId28" Type="http://schemas.openxmlformats.org/officeDocument/2006/relationships/image" Target="media/image8.emf"/><Relationship Id="rId27" Type="http://schemas.openxmlformats.org/officeDocument/2006/relationships/oleObject" Target="embeddings/oleObject8.bin"/><Relationship Id="rId26" Type="http://schemas.openxmlformats.org/officeDocument/2006/relationships/image" Target="media/image7.emf"/><Relationship Id="rId25" Type="http://schemas.openxmlformats.org/officeDocument/2006/relationships/oleObject" Target="embeddings/oleObject7.bin"/><Relationship Id="rId24" Type="http://schemas.openxmlformats.org/officeDocument/2006/relationships/image" Target="media/image6.emf"/><Relationship Id="rId23" Type="http://schemas.openxmlformats.org/officeDocument/2006/relationships/oleObject" Target="embeddings/oleObject6.bin"/><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8549</Words>
  <Characters>9160</Characters>
  <Lines>83</Lines>
  <Paragraphs>23</Paragraphs>
  <TotalTime>0</TotalTime>
  <ScaleCrop>false</ScaleCrop>
  <LinksUpToDate>false</LinksUpToDate>
  <CharactersWithSpaces>9541</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2022-03-28T09:02:00Z</dcterms:created>
  <dc:creator>Raytine</dc:creator>
  <cp:lastModifiedBy>张巍</cp:lastModifiedBy>
  <dcterms:modified xsi:type="dcterms:W3CDTF">2024-02-29T07:18:16Z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928FCD3EE2E345AF9E46F9F2E24E6DE6</vt:lpwstr>
  </property>
</Properties>
</file>