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0"/>
        <w:tblW w:w="8414" w:type="dxa"/>
        <w:jc w:val="center"/>
        <w:tblLayout w:type="autofit"/>
        <w:tblCellMar>
          <w:top w:w="0" w:type="dxa"/>
          <w:left w:w="108" w:type="dxa"/>
          <w:bottom w:w="0" w:type="dxa"/>
          <w:right w:w="0" w:type="dxa"/>
        </w:tblCellMar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exact"/>
              <w:jc w:val="right"/>
              <w:rPr>
                <w:rFonts w:hint="eastAsia" w:ascii="宋体" w:hAnsi="宋体" w:eastAsia="宋体" w:cs="宋体"/>
                <w:color w:val="A5A5A5" w:themeColor="accent3"/>
                <w:kern w:val="2"/>
                <w:sz w:val="24"/>
                <w:szCs w:val="24"/>
                <w:highlight w:val="none"/>
                <w:lang w:val="en-US" w:eastAsia="zh-CN" w:bidi="ar-SA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z w:val="24"/>
                <w:highlight w:val="none"/>
              </w:rPr>
              <w:t>文件号：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auto"/>
              <w:rPr>
                <w:rFonts w:hint="default" w:ascii="Calibri" w:hAnsi="Calibri" w:eastAsia="宋体" w:cs="Times New Roman"/>
                <w:color w:val="A5A5A5" w:themeColor="accent3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Calibri" w:hAnsi="Calibri" w:cs="Times New Roman"/>
                <w:color w:val="auto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</w:rPr>
              <w:t>MS-003</w:t>
            </w:r>
            <w:r>
              <w:rPr>
                <w:rFonts w:hint="eastAsia" w:ascii="Calibri" w:hAnsi="Calibri" w:eastAsia="宋体" w:cs="Times New Roman"/>
                <w:color w:val="auto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</w:rPr>
              <w:t>.20W00</w:t>
            </w:r>
            <w:r>
              <w:rPr>
                <w:rFonts w:hint="eastAsia" w:ascii="Calibri" w:hAnsi="Calibri" w:cs="Times New Roman"/>
                <w:color w:val="auto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</w:rPr>
              <w:t>7</w:t>
            </w:r>
          </w:p>
        </w:tc>
        <w:tc>
          <w:tcPr>
            <w:tcW w:w="240" w:type="dxa"/>
            <w:tcBorders>
              <w:left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exact"/>
              <w:jc w:val="righ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auto"/>
              <w:rPr>
                <w:rFonts w:hint="eastAsia" w:ascii="Calibri" w:hAnsi="Calibri" w:eastAsia="宋体" w:cs="Times New Roman"/>
                <w:sz w:val="24"/>
              </w:rPr>
            </w:pPr>
          </w:p>
        </w:tc>
        <w:tc>
          <w:tcPr>
            <w:tcW w:w="240" w:type="dxa"/>
            <w:tcBorders>
              <w:left w:val="nil"/>
              <w:bottom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auto"/>
              <w:rPr>
                <w:rFonts w:hint="eastAsia" w:ascii="Calibri" w:hAnsi="Calibri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widowControl w:val="0"/>
              <w:adjustRightInd/>
              <w:snapToGrid/>
              <w:spacing w:beforeLines="-2147483648" w:after="120" w:afterLines="-2147483648"/>
              <w:ind w:left="1470" w:leftChars="700" w:right="1470" w:rightChars="70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155" w:type="dxa"/>
            <w:gridSpan w:val="3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Lines="-2147483648" w:afterLines="-2147483648" w:line="240" w:lineRule="auto"/>
              <w:jc w:val="center"/>
              <w:rPr>
                <w:rFonts w:hint="default" w:ascii="宋体" w:hAnsi="宋体" w:eastAsia="宋体" w:cs="宋体"/>
                <w:color w:val="A5A5A5" w:themeColor="accent3"/>
                <w:sz w:val="24"/>
                <w:lang w:val="en-US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52"/>
                <w:szCs w:val="52"/>
                <w:lang w:val="en-US" w:eastAsia="zh-CN"/>
              </w:rPr>
              <w:t>MS-003</w:t>
            </w:r>
            <w:bookmarkStart w:id="120" w:name="_GoBack"/>
            <w:bookmarkEnd w:id="120"/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  <w:hidden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="0" w:beforeLines="-2147483648" w:after="0" w:afterLines="-2147483648" w:line="240" w:lineRule="auto"/>
              <w:jc w:val="center"/>
              <w:rPr>
                <w:rFonts w:hint="default" w:ascii="宋体" w:hAnsi="宋体" w:eastAsia="宋体" w:cs="宋体"/>
                <w:color w:val="A5A5A5" w:themeColor="accent3"/>
                <w:sz w:val="28"/>
                <w:szCs w:val="28"/>
                <w:lang w:val="en-US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vanish/>
                <w:color w:val="0000FF"/>
                <w:sz w:val="52"/>
                <w:szCs w:val="52"/>
                <w:lang w:val="en-US" w:eastAsia="zh-CN"/>
              </w:rPr>
              <w:t>（产品中文名称，可写可不写）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Lines="-2147483648" w:afterLines="-2147483648" w:line="240" w:lineRule="auto"/>
              <w:jc w:val="center"/>
              <w:rPr>
                <w:rFonts w:hint="default" w:ascii="宋体" w:hAnsi="宋体" w:eastAsia="黑体" w:cs="宋体"/>
                <w:sz w:val="44"/>
                <w:szCs w:val="4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52"/>
                <w:szCs w:val="52"/>
                <w:lang w:val="en-US" w:eastAsia="zh-CN"/>
              </w:rPr>
              <w:t>升降机构验证方案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雷俊勇</w:t>
            </w: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2022.03.xx</w:t>
            </w: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91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审核人：  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sz w:val="32"/>
                <w:szCs w:val="32"/>
                <w:lang w:val="en-US" w:eastAsia="zh-CN"/>
              </w:rPr>
              <w:t>李明</w:t>
            </w: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2022.03.xx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3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批准人：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  <w:lang w:val="en-US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sz w:val="32"/>
                <w:szCs w:val="32"/>
                <w:lang w:val="en-US" w:eastAsia="zh-CN"/>
              </w:rPr>
              <w:t>？？</w:t>
            </w: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2022.03.xx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4155" w:type="dxa"/>
            <w:gridSpan w:val="3"/>
            <w:tcBorders>
              <w:top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8414" w:type="dxa"/>
            <w:gridSpan w:val="9"/>
            <w:noWrap w:val="0"/>
            <w:vAlign w:val="top"/>
          </w:tcPr>
          <w:p>
            <w:pPr>
              <w:adjustRightInd/>
              <w:snapToGrid/>
              <w:spacing w:before="0" w:beforeLines="-2147483648" w:after="0" w:afterLines="-2147483648" w:line="24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</w:tbl>
    <w:p>
      <w:pP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</w:pPr>
      <w: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  <w:br w:type="page"/>
      </w:r>
    </w:p>
    <w:p>
      <w:pPr>
        <w:bidi w:val="0"/>
        <w:adjustRightInd/>
        <w:snapToGrid/>
        <w:spacing w:beforeLines="-2147483648" w:afterLines="-2147483648"/>
        <w:jc w:val="center"/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</w:pPr>
      <w: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  <w:t>文档修订履历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1889"/>
        <w:gridCol w:w="3891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发布日期</w:t>
            </w:r>
          </w:p>
        </w:tc>
        <w:tc>
          <w:tcPr>
            <w:tcW w:w="4678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 w:val="28"/>
                <w:szCs w:val="21"/>
              </w:rPr>
              <w:t>V1.0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sz w:val="28"/>
                <w:szCs w:val="21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 w:cs="Times New Roman"/>
                <w:bCs/>
                <w:color w:val="auto"/>
                <w:sz w:val="28"/>
                <w:szCs w:val="21"/>
                <w:lang w:val="en-US" w:eastAsia="zh-CN"/>
              </w:rPr>
              <w:t>.</w:t>
            </w:r>
            <w:r>
              <w:rPr>
                <w:rFonts w:hint="eastAsia" w:ascii="Times New Roman" w:hAnsi="Times New Roman" w:cs="Times New Roman"/>
                <w:bCs/>
                <w:color w:val="auto"/>
                <w:sz w:val="28"/>
                <w:szCs w:val="21"/>
                <w:lang w:val="en-US" w:eastAsia="zh-CN"/>
              </w:rPr>
              <w:t>03</w:t>
            </w:r>
            <w:r>
              <w:rPr>
                <w:rFonts w:hint="eastAsia" w:ascii="Times New Roman" w:hAnsi="Times New Roman" w:eastAsia="宋体" w:cs="Times New Roman"/>
                <w:bCs/>
                <w:color w:val="auto"/>
                <w:sz w:val="28"/>
                <w:szCs w:val="21"/>
                <w:lang w:val="en-US" w:eastAsia="zh-CN"/>
              </w:rPr>
              <w:t>.</w:t>
            </w:r>
            <w:r>
              <w:rPr>
                <w:rFonts w:hint="eastAsia" w:ascii="Times New Roman" w:hAnsi="Times New Roman" w:eastAsia="宋体" w:cs="Times New Roman"/>
                <w:bCs/>
                <w:color w:val="FF0000"/>
                <w:sz w:val="28"/>
                <w:szCs w:val="21"/>
                <w:lang w:val="en-US" w:eastAsia="zh-CN"/>
              </w:rPr>
              <w:t>00</w:t>
            </w: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文件新编</w:t>
            </w: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8"/>
                <w:szCs w:val="21"/>
                <w:lang w:val="en-US" w:eastAsia="zh-CN"/>
              </w:rPr>
              <w:t>雷俊勇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</w:tbl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bidi w:val="0"/>
        <w:adjustRightInd/>
        <w:snapToGrid/>
        <w:spacing w:beforeLines="-2147483648" w:afterLines="-2147483648"/>
        <w:rPr>
          <w:rFonts w:eastAsia="宋体" w:asciiTheme="minorAscii" w:hAnsiTheme="minorAscii" w:cstheme="minorBidi"/>
          <w:b/>
          <w:bCs/>
          <w:sz w:val="28"/>
        </w:rPr>
      </w:pPr>
      <w:r>
        <w:rPr>
          <w:rFonts w:hint="eastAsia" w:eastAsia="宋体" w:asciiTheme="minorAscii" w:hAnsiTheme="minorAscii" w:cstheme="minorBidi"/>
          <w:b/>
          <w:bCs/>
          <w:sz w:val="28"/>
        </w:rPr>
        <w:t>保密条款</w:t>
      </w:r>
    </w:p>
    <w:p>
      <w:pPr>
        <w:adjustRightInd/>
        <w:snapToGrid/>
        <w:spacing w:beforeLines="-2147483648" w:afterLines="-2147483648"/>
        <w:ind w:firstLine="420"/>
        <w:jc w:val="left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  <w:r>
        <w:rPr>
          <w:rFonts w:hint="eastAsia" w:eastAsia="宋体" w:asciiTheme="minorAscii" w:hAnsiTheme="minorAscii" w:cstheme="minorBidi"/>
          <w:i w:val="0"/>
          <w:iCs/>
          <w:sz w:val="28"/>
        </w:rPr>
        <w:t>文档仅限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产品（</w:t>
      </w:r>
      <w:r>
        <w:rPr>
          <w:rFonts w:hint="eastAsia" w:eastAsia="宋体" w:asciiTheme="minorAscii" w:hAnsiTheme="minorAscii" w:cstheme="minorBidi"/>
          <w:i w:val="0"/>
          <w:iCs/>
          <w:sz w:val="28"/>
        </w:rPr>
        <w:t>项目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）</w:t>
      </w:r>
      <w:r>
        <w:rPr>
          <w:rFonts w:hint="eastAsia" w:eastAsia="宋体" w:asciiTheme="minorAscii" w:hAnsiTheme="minorAscii" w:cstheme="minorBidi"/>
          <w:i w:val="0"/>
          <w:iCs/>
          <w:sz w:val="28"/>
        </w:rPr>
        <w:t>组内流转，违者负相应法律责任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。</w:t>
      </w:r>
      <w: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452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adjustRightInd/>
            <w:snapToGrid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adjustRightInd/>
            <w:snapToGrid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eastAsia="宋体" w:asciiTheme="minorAscii" w:hAnsiTheme="minorAscii" w:cstheme="minorBidi"/>
              <w:b/>
              <w:bCs/>
              <w:sz w:val="32"/>
              <w:szCs w:val="32"/>
            </w:rPr>
          </w:pPr>
          <w:r>
            <w:rPr>
              <w:rFonts w:ascii="宋体" w:hAnsi="宋体" w:eastAsia="宋体" w:cstheme="minorBidi"/>
              <w:b/>
              <w:bCs/>
              <w:sz w:val="32"/>
              <w:szCs w:val="32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fldChar w:fldCharType="begin"/>
          </w: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fldChar w:fldCharType="separate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instrText xml:space="preserve"> HYPERLINK \l _Toc12285 </w:instrText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第一章 概述</w:t>
          </w:r>
          <w:r>
            <w:tab/>
          </w:r>
          <w:r>
            <w:fldChar w:fldCharType="begin"/>
          </w:r>
          <w:r>
            <w:instrText xml:space="preserve"> PAGEREF _Toc12285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_Toc32524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1.1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验证目的</w:t>
          </w:r>
          <w:r>
            <w:tab/>
          </w:r>
          <w:r>
            <w:fldChar w:fldCharType="begin"/>
          </w:r>
          <w:r>
            <w:instrText xml:space="preserve"> PAGEREF _Toc32524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_Toc26564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1.2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</w:t>
          </w:r>
          <w:r>
            <w:rPr>
              <w:rFonts w:hint="default" w:ascii="Arial" w:hAnsi="Arial" w:eastAsia="宋体" w:cstheme="minorBidi"/>
              <w:kern w:val="2"/>
              <w:szCs w:val="24"/>
              <w:lang w:val="en-US" w:eastAsia="zh-CN" w:bidi="ar-SA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_Toc26564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_Toc2655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1.3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术语</w:t>
          </w:r>
          <w:r>
            <w:tab/>
          </w:r>
          <w:r>
            <w:fldChar w:fldCharType="begin"/>
          </w:r>
          <w:r>
            <w:instrText xml:space="preserve"> PAGEREF _Toc2655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_Toc12538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1.4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_Toc12538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_Toc25557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第二章 验证条件</w:t>
          </w:r>
          <w:r>
            <w:tab/>
          </w:r>
          <w:r>
            <w:fldChar w:fldCharType="begin"/>
          </w:r>
          <w:r>
            <w:instrText xml:space="preserve"> PAGEREF _Toc25557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_Toc8558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2.1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验证对象</w:t>
          </w:r>
          <w:r>
            <w:tab/>
          </w:r>
          <w:r>
            <w:fldChar w:fldCharType="begin"/>
          </w:r>
          <w:r>
            <w:instrText xml:space="preserve"> PAGEREF _Toc8558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_Toc18326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2.2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验证设备/工装/工具</w:t>
          </w:r>
          <w:r>
            <w:tab/>
          </w:r>
          <w:r>
            <w:fldChar w:fldCharType="begin"/>
          </w:r>
          <w:r>
            <w:instrText xml:space="preserve"> PAGEREF _Toc18326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_Toc21492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2.3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验证地点</w:t>
          </w:r>
          <w:r>
            <w:tab/>
          </w:r>
          <w:r>
            <w:fldChar w:fldCharType="begin"/>
          </w:r>
          <w:r>
            <w:instrText xml:space="preserve"> PAGEREF _Toc21492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_Toc8008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2.4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验证时间</w:t>
          </w:r>
          <w:r>
            <w:tab/>
          </w:r>
          <w:r>
            <w:fldChar w:fldCharType="begin"/>
          </w:r>
          <w:r>
            <w:instrText xml:space="preserve"> PAGEREF _Toc8008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_Toc25908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2.5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验证环境</w:t>
          </w:r>
          <w:r>
            <w:tab/>
          </w:r>
          <w:r>
            <w:fldChar w:fldCharType="begin"/>
          </w:r>
          <w:r>
            <w:instrText xml:space="preserve"> PAGEREF _Toc25908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_Toc28706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2.6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验证人员</w:t>
          </w:r>
          <w:r>
            <w:tab/>
          </w:r>
          <w:r>
            <w:fldChar w:fldCharType="begin"/>
          </w:r>
          <w:r>
            <w:instrText xml:space="preserve"> PAGEREF _Toc28706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_Toc31734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第三章 验证可接受准则</w:t>
          </w:r>
          <w:r>
            <w:tab/>
          </w:r>
          <w:r>
            <w:fldChar w:fldCharType="begin"/>
          </w:r>
          <w:r>
            <w:instrText xml:space="preserve"> PAGEREF _Toc31734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_Toc19090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第四章 验证方法与步骤</w:t>
          </w:r>
          <w:r>
            <w:tab/>
          </w:r>
          <w:r>
            <w:fldChar w:fldCharType="begin"/>
          </w:r>
          <w:r>
            <w:instrText xml:space="preserve"> PAGEREF _Toc19090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_Toc24742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4.1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验证原理概述</w:t>
          </w:r>
          <w:r>
            <w:tab/>
          </w:r>
          <w:r>
            <w:fldChar w:fldCharType="begin"/>
          </w:r>
          <w:r>
            <w:instrText xml:space="preserve"> PAGEREF _Toc24742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_Toc20517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 xml:space="preserve">4.1.1. </w:t>
          </w:r>
          <w:r>
            <w:rPr>
              <w:rFonts w:hint="default" w:ascii="Times New Roman" w:hAnsi="Times New Roman" w:eastAsia="宋体" w:cs="Times New Roman"/>
              <w:kern w:val="2"/>
              <w:szCs w:val="24"/>
              <w:lang w:val="en-US" w:eastAsia="zh-CN" w:bidi="ar-SA"/>
            </w:rPr>
            <w:t>常见加速模型</w:t>
          </w:r>
          <w:r>
            <w:tab/>
          </w:r>
          <w:r>
            <w:fldChar w:fldCharType="begin"/>
          </w:r>
          <w:r>
            <w:instrText xml:space="preserve"> PAGEREF _Toc20517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_Toc1576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4.2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验证方法</w:t>
          </w:r>
          <w:r>
            <w:tab/>
          </w:r>
          <w:r>
            <w:fldChar w:fldCharType="begin"/>
          </w:r>
          <w:r>
            <w:instrText xml:space="preserve"> PAGEREF _Toc1576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_Toc18829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4.3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验证步骤</w:t>
          </w:r>
          <w:r>
            <w:tab/>
          </w:r>
          <w:r>
            <w:fldChar w:fldCharType="begin"/>
          </w:r>
          <w:r>
            <w:instrText xml:space="preserve"> PAGEREF _Toc18829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_Toc13886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第五章 验证结果与结论</w:t>
          </w:r>
          <w:r>
            <w:tab/>
          </w:r>
          <w:r>
            <w:fldChar w:fldCharType="begin"/>
          </w:r>
          <w:r>
            <w:instrText xml:space="preserve"> PAGEREF _Toc13886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_Toc22013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第六章 附件</w:t>
          </w:r>
          <w:r>
            <w:tab/>
          </w:r>
          <w:r>
            <w:fldChar w:fldCharType="begin"/>
          </w:r>
          <w:r>
            <w:instrText xml:space="preserve"> PAGEREF _Toc22013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sectPr>
              <w:headerReference r:id="rId5" w:type="default"/>
              <w:footerReference r:id="rId6" w:type="default"/>
              <w:pgSz w:w="11906" w:h="16838"/>
              <w:pgMar w:top="1417" w:right="1800" w:bottom="850" w:left="1800" w:header="851" w:footer="283" w:gutter="0"/>
              <w:pgNumType w:fmt="decimal" w:start="1"/>
              <w:cols w:space="0" w:num="1"/>
              <w:rtlGutter w:val="0"/>
              <w:docGrid w:type="lines" w:linePitch="380" w:charSpace="0"/>
            </w:sectPr>
          </w:pPr>
          <w:r>
            <w:rPr>
              <w:rFonts w:eastAsia="宋体" w:asciiTheme="minorAscii" w:hAnsiTheme="minorAscii" w:cstheme="minorBidi"/>
            </w:rPr>
            <w:fldChar w:fldCharType="end"/>
          </w:r>
        </w:p>
      </w:sdtContent>
    </w:sdt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both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0" w:name="_Toc12285"/>
      <w:bookmarkStart w:id="1" w:name="_Toc16646"/>
      <w:bookmarkStart w:id="2" w:name="_Toc29076"/>
      <w:bookmarkStart w:id="3" w:name="_Toc27104"/>
      <w:bookmarkStart w:id="4" w:name="_Toc10239"/>
      <w:bookmarkStart w:id="5" w:name="_Toc1217"/>
      <w:bookmarkStart w:id="6" w:name="_Toc24226"/>
      <w:bookmarkStart w:id="7" w:name="_Toc13356"/>
      <w:bookmarkStart w:id="8" w:name="_Toc25494"/>
      <w:bookmarkStart w:id="9" w:name="_Toc30924"/>
      <w:bookmarkStart w:id="10" w:name="_Toc8498"/>
      <w:bookmarkStart w:id="11" w:name="_Toc185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概述</w:t>
      </w:r>
      <w:bookmarkEnd w:id="0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 w:firstLineChars="0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2" w:name="_Toc7898"/>
      <w:bookmarkStart w:id="13" w:name="_Toc23347"/>
      <w:bookmarkStart w:id="14" w:name="_Toc32383"/>
      <w:bookmarkStart w:id="15" w:name="_Toc14588"/>
      <w:bookmarkStart w:id="16" w:name="_Toc32524"/>
      <w:bookmarkStart w:id="17" w:name="_Toc24130"/>
      <w:bookmarkStart w:id="18" w:name="_Toc30996"/>
      <w:bookmarkStart w:id="19" w:name="_Toc26376"/>
      <w:bookmarkStart w:id="20" w:name="_Toc8853"/>
      <w:bookmarkStart w:id="21" w:name="_Toc1912"/>
      <w:bookmarkStart w:id="22" w:name="_Toc9537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验证目的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eastAsia" w:ascii="宋体" w:hAnsi="宋体" w:cs="宋体"/>
          <w:b w:val="0"/>
          <w:bCs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验证升降立柱</w:t>
      </w:r>
      <w:r>
        <w:rPr>
          <w:rFonts w:hint="eastAsia" w:ascii="宋体" w:hAnsi="宋体" w:cs="宋体"/>
          <w:b w:val="0"/>
          <w:bCs/>
          <w:color w:val="auto"/>
          <w:sz w:val="21"/>
          <w:szCs w:val="21"/>
          <w:highlight w:val="none"/>
          <w:lang w:val="en-US" w:eastAsia="zh-CN"/>
        </w:rPr>
        <w:t>（HB-DJ825-24-60-175-6-H2）最大负载、最大行程、工作电流能否符合规格书标称参数。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color w:val="auto"/>
          <w:sz w:val="21"/>
          <w:szCs w:val="21"/>
          <w:highlight w:val="none"/>
          <w:lang w:val="en-US" w:eastAsia="zh-CN"/>
        </w:rPr>
        <w:t>升降控制板组成的升降机构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在</w:t>
      </w:r>
      <w:r>
        <w:rPr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MS-003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系统内是否达到开发需求的设计目标，满足</w:t>
      </w:r>
      <w:r>
        <w:rPr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MS-003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系统</w:t>
      </w:r>
      <w:r>
        <w:rPr>
          <w:rFonts w:hint="eastAsia"/>
          <w:color w:val="auto"/>
          <w:lang w:val="en-US" w:eastAsia="zh-CN"/>
        </w:rPr>
        <w:t>预先设定</w:t>
      </w:r>
      <w:r>
        <w:rPr>
          <w:rFonts w:hint="eastAsia" w:ascii="宋体" w:hAnsi="宋体" w:cs="宋体"/>
          <w:color w:val="auto"/>
          <w:lang w:val="en-US" w:eastAsia="zh-CN"/>
        </w:rPr>
        <w:t>的</w:t>
      </w:r>
      <w:r>
        <w:rPr>
          <w:rFonts w:hint="eastAsia"/>
          <w:color w:val="auto"/>
          <w:lang w:val="en-US" w:eastAsia="zh-CN"/>
        </w:rPr>
        <w:t>使用期限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。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23" w:name="_Toc12483"/>
      <w:bookmarkStart w:id="24" w:name="_Toc27142"/>
      <w:bookmarkStart w:id="25" w:name="_Toc32447"/>
      <w:bookmarkStart w:id="26" w:name="_Toc26745"/>
      <w:bookmarkStart w:id="27" w:name="_Toc26564"/>
      <w:bookmarkStart w:id="28" w:name="_Toc17151"/>
      <w:bookmarkStart w:id="29" w:name="_Toc21514"/>
      <w:bookmarkStart w:id="30" w:name="_Toc21184"/>
      <w:bookmarkStart w:id="31" w:name="_Toc11200"/>
      <w:bookmarkStart w:id="32" w:name="_Toc8655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r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范围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Start w:id="33" w:name="_Toc22393"/>
      <w:bookmarkEnd w:id="33"/>
      <w:bookmarkStart w:id="34" w:name="_Toc32161"/>
      <w:bookmarkEnd w:id="34"/>
      <w:bookmarkStart w:id="35" w:name="_Toc3290"/>
      <w:bookmarkEnd w:id="35"/>
      <w:bookmarkStart w:id="36" w:name="_Toc11648"/>
      <w:bookmarkEnd w:id="36"/>
      <w:bookmarkStart w:id="37" w:name="_Toc18639"/>
      <w:bookmarkEnd w:id="37"/>
      <w:bookmarkStart w:id="38" w:name="_Toc4427"/>
      <w:bookmarkEnd w:id="3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bookmarkStart w:id="39" w:name="_Toc32484"/>
      <w:bookmarkStart w:id="40" w:name="_Toc25521"/>
      <w:bookmarkStart w:id="41" w:name="_Toc24793"/>
      <w:bookmarkStart w:id="42" w:name="_Toc20781"/>
      <w:bookmarkStart w:id="43" w:name="_Toc13067"/>
      <w:bookmarkStart w:id="44" w:name="_Toc17305"/>
      <w:bookmarkStart w:id="45" w:name="_Toc15336"/>
      <w:bookmarkStart w:id="46" w:name="_Toc2655"/>
      <w:bookmarkStart w:id="47" w:name="_Toc24382"/>
      <w:bookmarkStart w:id="48" w:name="_Toc18489"/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升降立柱</w:t>
      </w:r>
      <w:r>
        <w:rPr>
          <w:rFonts w:hint="eastAsia" w:ascii="宋体" w:hAnsi="宋体" w:cs="宋体"/>
          <w:b w:val="0"/>
          <w:bCs/>
          <w:sz w:val="21"/>
          <w:szCs w:val="21"/>
          <w:highlight w:val="none"/>
          <w:lang w:val="en-US" w:eastAsia="zh-CN"/>
        </w:rPr>
        <w:t>、升降机构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。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术语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49" w:name="_Toc12538"/>
      <w:bookmarkStart w:id="50" w:name="_Toc10458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参考资料</w:t>
      </w:r>
      <w:bookmarkEnd w:id="49"/>
      <w:bookmarkEnd w:id="5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MS-003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 xml:space="preserve"> 产品有效期验证方案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MS-003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技术需求规格书》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MS-003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电子设计失效模式分析(D-FMEA)》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Times New Roman" w:hAnsi="Times New Roman" w:cs="Times New Roman"/>
          <w:b w:val="0"/>
          <w:bCs/>
          <w:sz w:val="21"/>
          <w:szCs w:val="21"/>
          <w:highlight w:val="none"/>
          <w:lang w:val="en-US" w:eastAsia="zh-CN"/>
        </w:rPr>
        <w:t>MS-003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highlight w:val="none"/>
          <w:lang w:val="en-US" w:eastAsia="zh-CN"/>
        </w:rPr>
        <w:t>风险评估和控制记录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《升降立柱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 xml:space="preserve"> HB-DJ825-24-60-175-6-H2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产品规格书》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GB 9706.1-20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20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《医用电气设备 第1部分：安全通用要求》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51" w:name="_Toc2038"/>
      <w:bookmarkStart w:id="52" w:name="_Toc25557"/>
      <w:bookmarkStart w:id="53" w:name="_Toc9422"/>
      <w:bookmarkStart w:id="54" w:name="_Toc4826"/>
      <w:bookmarkStart w:id="55" w:name="_Toc13206"/>
      <w:bookmarkStart w:id="56" w:name="_Toc9934"/>
      <w:bookmarkStart w:id="57" w:name="_Toc1748"/>
      <w:bookmarkStart w:id="58" w:name="_Toc1867"/>
      <w:bookmarkStart w:id="59" w:name="_Toc477"/>
      <w:bookmarkStart w:id="60" w:name="_Toc24202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验证条件</w:t>
      </w:r>
      <w:bookmarkEnd w:id="51"/>
      <w:bookmarkEnd w:id="52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 w:firstLineChars="0"/>
        <w:jc w:val="both"/>
        <w:outlineLvl w:val="1"/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61" w:name="_Toc15931"/>
      <w:bookmarkStart w:id="62" w:name="_Toc8558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验证对象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tbl>
      <w:tblPr>
        <w:tblStyle w:val="30"/>
        <w:tblW w:w="499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1"/>
        <w:gridCol w:w="2036"/>
        <w:gridCol w:w="2632"/>
        <w:gridCol w:w="17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设备编号</w:t>
            </w:r>
          </w:p>
        </w:tc>
        <w:tc>
          <w:tcPr>
            <w:tcW w:w="119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设备名称</w:t>
            </w:r>
          </w:p>
        </w:tc>
        <w:tc>
          <w:tcPr>
            <w:tcW w:w="154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型号规格</w:t>
            </w:r>
          </w:p>
        </w:tc>
        <w:tc>
          <w:tcPr>
            <w:tcW w:w="103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9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升降立柱</w:t>
            </w:r>
          </w:p>
        </w:tc>
        <w:tc>
          <w:tcPr>
            <w:tcW w:w="154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  <w:t>HB-DJ825-24-60-175-6-H2</w:t>
            </w:r>
          </w:p>
        </w:tc>
        <w:tc>
          <w:tcPr>
            <w:tcW w:w="103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19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升降控制板</w:t>
            </w:r>
          </w:p>
        </w:tc>
        <w:tc>
          <w:tcPr>
            <w:tcW w:w="154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  <w:t>MS-003.23T001</w:t>
            </w:r>
          </w:p>
        </w:tc>
        <w:tc>
          <w:tcPr>
            <w:tcW w:w="103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</w:tr>
    </w:tbl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63" w:name="_Toc18326"/>
      <w:bookmarkStart w:id="64" w:name="_Toc4180"/>
      <w:bookmarkStart w:id="65" w:name="_Toc27561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验证设备/工装/工具</w:t>
      </w:r>
      <w:bookmarkEnd w:id="63"/>
      <w:bookmarkEnd w:id="64"/>
    </w:p>
    <w:tbl>
      <w:tblPr>
        <w:tblStyle w:val="30"/>
        <w:tblW w:w="499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2236"/>
        <w:gridCol w:w="2371"/>
        <w:gridCol w:w="18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设备编号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设备名称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型号规格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223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  <w:t>执行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  <w:t>台车</w:t>
            </w:r>
          </w:p>
        </w:tc>
        <w:tc>
          <w:tcPr>
            <w:tcW w:w="2371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MS-003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ST/ZG-002</w:t>
            </w:r>
          </w:p>
        </w:tc>
        <w:tc>
          <w:tcPr>
            <w:tcW w:w="223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数字万用表</w:t>
            </w:r>
          </w:p>
        </w:tc>
        <w:tc>
          <w:tcPr>
            <w:tcW w:w="2371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VC97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bookmarkStart w:id="66" w:name="_Toc11330"/>
            <w:bookmarkStart w:id="67" w:name="_Toc21492"/>
            <w:bookmarkStart w:id="68" w:name="_Toc4741"/>
            <w:bookmarkStart w:id="69" w:name="_Toc26207"/>
            <w:bookmarkStart w:id="70" w:name="_Toc29383"/>
            <w:bookmarkStart w:id="71" w:name="_Toc3324"/>
            <w:bookmarkStart w:id="72" w:name="_Toc16357"/>
            <w:bookmarkStart w:id="73" w:name="_Toc2111"/>
            <w:bookmarkStart w:id="74" w:name="_Toc27278"/>
            <w:bookmarkStart w:id="75" w:name="_Toc15049"/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ST/SC-074</w:t>
            </w:r>
          </w:p>
        </w:tc>
        <w:tc>
          <w:tcPr>
            <w:tcW w:w="223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电子台秤</w:t>
            </w:r>
          </w:p>
        </w:tc>
        <w:tc>
          <w:tcPr>
            <w:tcW w:w="2371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TCS-150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</w:tr>
      <w:bookmarkEnd w:id="65"/>
    </w:tbl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验证地点</w:t>
      </w:r>
      <w:bookmarkEnd w:id="66"/>
      <w:bookmarkEnd w:id="67"/>
    </w:p>
    <w:p>
      <w:pPr>
        <w:adjustRightInd/>
        <w:snapToGrid/>
        <w:spacing w:beforeLines="-2147483648" w:afterLines="-2147483648"/>
        <w:ind w:firstLine="560"/>
        <w:rPr>
          <w:rFonts w:hint="default" w:asciiTheme="minorAscii" w:hAnsiTheme="minorAscii" w:cstheme="minorBidi"/>
          <w:color w:val="auto"/>
          <w:sz w:val="21"/>
          <w:szCs w:val="21"/>
          <w:lang w:val="en-US" w:eastAsia="zh-CN"/>
        </w:rPr>
      </w:pPr>
      <w:r>
        <w:rPr>
          <w:rFonts w:hint="eastAsia" w:asciiTheme="minorAscii" w:hAnsiTheme="minorAscii" w:cstheme="minorBidi"/>
          <w:color w:val="auto"/>
          <w:sz w:val="21"/>
          <w:szCs w:val="21"/>
          <w:lang w:val="en-US" w:eastAsia="zh-CN"/>
        </w:rPr>
        <w:t>公司实验室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76" w:name="_Toc3836"/>
      <w:bookmarkStart w:id="77" w:name="_Toc8008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验证时间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>
      <w:pPr>
        <w:adjustRightInd/>
        <w:snapToGrid/>
        <w:spacing w:beforeLines="-2147483648" w:afterLines="-2147483648"/>
        <w:ind w:firstLine="560"/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bookmarkStart w:id="78" w:name="_Toc15283"/>
      <w:bookmarkStart w:id="79" w:name="_Toc25908"/>
      <w:bookmarkStart w:id="80" w:name="_Toc32107"/>
      <w:bookmarkStart w:id="81" w:name="_Toc9164"/>
      <w:bookmarkStart w:id="82" w:name="_Toc15326"/>
      <w:bookmarkStart w:id="83" w:name="_Toc9414"/>
      <w:bookmarkStart w:id="84" w:name="_Toc29300"/>
      <w:bookmarkStart w:id="85" w:name="_Toc31455"/>
      <w:bookmarkStart w:id="86" w:name="_Toc602"/>
      <w:bookmarkStart w:id="87" w:name="_Toc1754"/>
      <w:bookmarkStart w:id="88" w:name="_Toc11888"/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202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.0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1.04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-202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01.31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验证环境</w:t>
      </w:r>
      <w:bookmarkEnd w:id="78"/>
      <w:bookmarkEnd w:id="7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bookmarkStart w:id="89" w:name="_Toc3468"/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温度：室温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相对湿度：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≤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75%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90" w:name="_Toc28706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人员</w:t>
      </w:r>
      <w:bookmarkEnd w:id="89"/>
      <w:bookmarkEnd w:id="90"/>
    </w:p>
    <w:tbl>
      <w:tblPr>
        <w:tblStyle w:val="31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1750"/>
        <w:gridCol w:w="2221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序号</w:t>
            </w:r>
          </w:p>
        </w:tc>
        <w:tc>
          <w:tcPr>
            <w:tcW w:w="1027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岗位</w:t>
            </w:r>
          </w:p>
        </w:tc>
        <w:tc>
          <w:tcPr>
            <w:tcW w:w="1303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人数</w:t>
            </w:r>
          </w:p>
        </w:tc>
        <w:tc>
          <w:tcPr>
            <w:tcW w:w="2251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1027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Ascii" w:hAnsiTheme="minorAsci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 w:hAnsiTheme="minorAscii" w:cstheme="minorBidi"/>
                <w:color w:val="auto"/>
                <w:sz w:val="21"/>
                <w:szCs w:val="21"/>
                <w:lang w:val="en-US" w:eastAsia="zh-CN"/>
              </w:rPr>
              <w:t>电子工程师</w:t>
            </w:r>
          </w:p>
        </w:tc>
        <w:tc>
          <w:tcPr>
            <w:tcW w:w="1303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Ascii" w:hAnsiTheme="minorAsci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 w:hAnsiTheme="minorAscii" w:cstheme="minorBidi"/>
                <w:color w:val="auto"/>
                <w:sz w:val="21"/>
                <w:szCs w:val="21"/>
                <w:lang w:val="en-US" w:eastAsia="zh-CN"/>
              </w:rPr>
              <w:t>1人</w:t>
            </w:r>
          </w:p>
        </w:tc>
        <w:tc>
          <w:tcPr>
            <w:tcW w:w="2251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Ascii" w:hAnsiTheme="minorAsci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 w:hAnsiTheme="minorAscii" w:cstheme="minorBidi"/>
                <w:color w:val="auto"/>
                <w:sz w:val="21"/>
                <w:szCs w:val="21"/>
                <w:lang w:val="en-US" w:eastAsia="zh-CN"/>
              </w:rPr>
              <w:t>试验中的设备操作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="Times New Roman" w:hAnsi="Times New Roman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</w:rPr>
              <w:t>2</w:t>
            </w:r>
          </w:p>
        </w:tc>
        <w:tc>
          <w:tcPr>
            <w:tcW w:w="1027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Ascii" w:hAnsiTheme="minorAsci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 w:hAnsiTheme="minorAscii" w:cstheme="minorBidi"/>
                <w:color w:val="auto"/>
                <w:sz w:val="21"/>
                <w:szCs w:val="21"/>
                <w:lang w:val="en-US" w:eastAsia="zh-CN"/>
              </w:rPr>
              <w:t>测试工程师</w:t>
            </w:r>
          </w:p>
        </w:tc>
        <w:tc>
          <w:tcPr>
            <w:tcW w:w="1303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Ascii" w:hAnsiTheme="minorAsci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 w:hAnsiTheme="minorAscii" w:cstheme="minorBidi"/>
                <w:color w:val="auto"/>
                <w:sz w:val="21"/>
                <w:szCs w:val="21"/>
                <w:lang w:val="en-US" w:eastAsia="zh-CN"/>
              </w:rPr>
              <w:t>1人</w:t>
            </w:r>
          </w:p>
        </w:tc>
        <w:tc>
          <w:tcPr>
            <w:tcW w:w="2251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Ascii" w:hAnsiTheme="minorAsci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 w:hAnsiTheme="minorAscii" w:cstheme="minorBidi"/>
                <w:color w:val="auto"/>
                <w:sz w:val="21"/>
                <w:szCs w:val="21"/>
                <w:lang w:val="en-US" w:eastAsia="zh-CN"/>
              </w:rPr>
              <w:t>进行数据记录、统计；编制报告</w:t>
            </w:r>
          </w:p>
        </w:tc>
      </w:tr>
    </w:tbl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91" w:name="_Toc4467"/>
      <w:bookmarkStart w:id="92" w:name="_Toc2006"/>
      <w:bookmarkStart w:id="93" w:name="_Toc15702"/>
      <w:bookmarkStart w:id="94" w:name="_Toc1400"/>
      <w:bookmarkStart w:id="95" w:name="_Toc31734"/>
      <w:bookmarkStart w:id="96" w:name="_Toc19959"/>
      <w:bookmarkStart w:id="97" w:name="_Toc29201"/>
      <w:bookmarkStart w:id="98" w:name="_Toc21694"/>
      <w:bookmarkStart w:id="99" w:name="_Toc9029"/>
      <w:bookmarkStart w:id="100" w:name="_Toc19446"/>
      <w:bookmarkStart w:id="101" w:name="_Toc28523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验证可接受准则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>
      <w:pPr>
        <w:numPr>
          <w:ilvl w:val="0"/>
          <w:numId w:val="0"/>
        </w:numPr>
        <w:adjustRightInd/>
        <w:snapToGrid/>
        <w:spacing w:beforeLines="-2147483648" w:afterLines="-2147483648"/>
        <w:ind w:left="420" w:leftChars="20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验证结果应符合以下指标：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bookmarkStart w:id="102" w:name="_Toc6986"/>
      <w:bookmarkStart w:id="103" w:name="_Toc3397"/>
      <w:bookmarkStart w:id="104" w:name="_Toc28304"/>
      <w:bookmarkStart w:id="105" w:name="_Toc26435"/>
      <w:bookmarkStart w:id="106" w:name="_Toc19363"/>
      <w:bookmarkStart w:id="107" w:name="_Toc25226"/>
      <w:bookmarkStart w:id="108" w:name="_Toc5244"/>
      <w:bookmarkStart w:id="109" w:name="_Toc19333"/>
      <w:bookmarkStart w:id="110" w:name="_Toc3422"/>
      <w:bookmarkStart w:id="111" w:name="_Toc19090"/>
      <w:bookmarkStart w:id="112" w:name="_Toc264"/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单个升降立柱最大行程能达到60mm，最大推力不低于1500N，同时工作电流不超过3A；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升降机构系统支撑MS-003耐久性测试后，仍能升高到60mm最高状态和降低到最低位置。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验证方法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与步骤</w:t>
      </w:r>
      <w:bookmarkEnd w:id="111"/>
      <w:bookmarkEnd w:id="112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13" w:name="_Toc17514"/>
      <w:bookmarkStart w:id="114" w:name="_Toc9303"/>
      <w:bookmarkStart w:id="115" w:name="_Toc24595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工作参数验证</w:t>
      </w:r>
      <w:bookmarkEnd w:id="113"/>
      <w:bookmarkEnd w:id="1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cs="宋体"/>
          <w:b w:val="0"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根据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</w:t>
      </w:r>
      <w:r>
        <w:rPr>
          <w:rFonts w:hint="default" w:ascii="宋体" w:hAnsi="宋体" w:eastAsia="宋体" w:cs="宋体"/>
          <w:b w:val="0"/>
          <w:bCs/>
          <w:sz w:val="21"/>
          <w:szCs w:val="21"/>
          <w:highlight w:val="none"/>
          <w:lang w:val="en-US" w:eastAsia="zh-CN"/>
        </w:rPr>
        <w:t>升降</w:t>
      </w:r>
      <w:r>
        <w:rPr>
          <w:rFonts w:hint="default" w:ascii="宋体" w:hAnsi="宋体" w:eastAsia="宋体" w:cs="宋体"/>
          <w:sz w:val="21"/>
          <w:szCs w:val="21"/>
          <w:highlight w:val="none"/>
          <w:lang w:val="en-US" w:eastAsia="zh-CN"/>
        </w:rPr>
        <w:t>立柱</w:t>
      </w:r>
      <w:r>
        <w:rPr>
          <w:rFonts w:hint="eastAsia" w:ascii="宋体" w:hAnsi="宋体" w:cs="宋体"/>
          <w:b w:val="0"/>
          <w:bCs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 w:ascii="宋体" w:hAnsi="宋体" w:cs="宋体" w:eastAsiaTheme="minorEastAsia"/>
          <w:szCs w:val="22"/>
          <w:lang w:val="en-US" w:eastAsia="zh-CN"/>
        </w:rPr>
        <w:t>HB-DJ825-24-60-175-6-H2</w:t>
      </w:r>
      <w:r>
        <w:rPr>
          <w:rFonts w:hint="eastAsia" w:ascii="宋体" w:hAnsi="宋体" w:eastAsia="宋体" w:cs="宋体"/>
          <w:b w:val="0"/>
          <w:bCs/>
          <w:sz w:val="21"/>
          <w:szCs w:val="21"/>
          <w:highlight w:val="none"/>
          <w:lang w:val="en-US" w:eastAsia="zh-CN"/>
        </w:rPr>
        <w:t>产品规格书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》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参数标识，单个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  <w:t>立柱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最大推力为</w:t>
      </w:r>
      <w:r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  <w:t>15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00N，近似取重力加速度g为10.0m/s</w:t>
      </w:r>
      <w:r>
        <w:rPr>
          <w:rFonts w:hint="eastAsia" w:ascii="宋体" w:hAnsi="宋体" w:cs="宋体"/>
          <w:b w:val="0"/>
          <w:bCs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，那么立柱能最大推动约</w:t>
      </w:r>
      <w:r>
        <w:rPr>
          <w:rFonts w:hint="default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15</w:t>
      </w: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0kg重物，进行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  <w:t>升降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立柱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推力和最大行程测试，</w:t>
      </w: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测试步骤如下：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如图4.1-1所示，将立柱放置于硬质地面上</w:t>
      </w: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，准备一</w:t>
      </w:r>
      <w:r>
        <w:rPr>
          <w:rFonts w:hint="default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15</w:t>
      </w: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0kg重的物体，放置于立柱上端（注意预防重物跌落），控制立柱由最小行程位置上升至最大行程位置（60mm），保持90秒钟，控制立柱下降到最小行程位置，保持90秒钟；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drawing>
          <wp:inline distT="0" distB="0" distL="114300" distR="114300">
            <wp:extent cx="4601210" cy="3038475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sz w:val="18"/>
          <w:szCs w:val="18"/>
          <w:lang w:val="en-US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图 </w:t>
      </w:r>
      <w:r>
        <w:rPr>
          <w:rFonts w:hint="eastAsia" w:ascii="宋体" w:hAnsi="宋体" w:cs="宋体"/>
          <w:b w:val="0"/>
          <w:bCs/>
          <w:sz w:val="18"/>
          <w:szCs w:val="18"/>
          <w:vertAlign w:val="baseline"/>
          <w:lang w:val="en-US" w:eastAsia="zh-CN"/>
        </w:rPr>
        <w:t>4.1-1 示意图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ascii="宋体" w:hAnsi="宋体" w:cs="宋体"/>
          <w:b w:val="0"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观察并记录立柱运行时的电流值，和立柱上升下降达到的最小最大行程位置；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ascii="宋体" w:hAnsi="宋体" w:cs="宋体"/>
          <w:b w:val="0"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重复步骤1、2五次。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16" w:name="_Toc1528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使用效期验证</w:t>
      </w:r>
      <w:bookmarkEnd w:id="1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MS-003日常工作频率，一般情况下每日骨科手术在4台以下，假定每次手术前都需要调整一次台车高度，每次升降时间为30秒以下，考虑到立柱工作散热25%的占空比，实际立柱需要工作30秒后停止90秒。预先设定MS-003整机使用期限为10年，每年假定为360个工作日，那么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  <w:t>升降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立柱</w:t>
      </w:r>
      <w:r>
        <w:rPr>
          <w:rFonts w:hint="eastAsia"/>
          <w:lang w:val="en-US" w:eastAsia="zh-CN"/>
        </w:rPr>
        <w:t>总运行时间最大为（30+90）*4*360*10/3600＝384小时，所以制作测试程序，在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  <w:t>升降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立柱</w:t>
      </w:r>
      <w:r>
        <w:rPr>
          <w:rFonts w:hint="eastAsia"/>
          <w:lang w:val="en-US" w:eastAsia="zh-CN"/>
        </w:rPr>
        <w:t>25%占空比连续工作的情况下，需要384/24＝16天进行测试。在测试前和完成测试后确认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  <w:t>升降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机构</w:t>
      </w:r>
      <w:r>
        <w:rPr>
          <w:rFonts w:hint="eastAsia"/>
          <w:lang w:val="en-US" w:eastAsia="zh-CN"/>
        </w:rPr>
        <w:t>的最大行程，测试后的行程应与测试前保持一致，升降立柱在行程的两端有限位开关，限位开关功能正常即可确认立柱行程大于60mm，出现行程衰减或者无法进行升降工作则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  <w:t>升降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机构预期使用效期测试失败</w:t>
      </w:r>
      <w:r>
        <w:rPr>
          <w:rFonts w:hint="eastAsia"/>
          <w:lang w:val="en-US" w:eastAsia="zh-CN"/>
        </w:rPr>
        <w:t>。</w:t>
      </w:r>
    </w:p>
    <w:p>
      <w:pPr>
        <w:pStyle w:val="2"/>
        <w:ind w:left="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将所有测试结果填入附件的记录表中。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17" w:name="_Toc13886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验证结果与结论</w:t>
      </w:r>
      <w:bookmarkEnd w:id="115"/>
      <w:bookmarkEnd w:id="117"/>
    </w:p>
    <w:p>
      <w:pPr>
        <w:bidi w:val="0"/>
        <w:adjustRightInd/>
        <w:snapToGrid/>
        <w:spacing w:beforeLines="-2147483648" w:afterLines="-2147483648"/>
        <w:ind w:firstLine="420" w:firstLineChars="200"/>
        <w:rPr>
          <w:rFonts w:hint="eastAsia" w:asciiTheme="minorAscii" w:hAnsiTheme="minorAscii" w:cstheme="minorBidi"/>
          <w:sz w:val="21"/>
          <w:szCs w:val="21"/>
          <w:lang w:eastAsia="zh-CN"/>
        </w:rPr>
      </w:pPr>
      <w:r>
        <w:rPr>
          <w:rFonts w:hint="eastAsia" w:asciiTheme="minorAscii" w:hAnsiTheme="minorAscii" w:cstheme="minorBidi"/>
          <w:sz w:val="21"/>
          <w:szCs w:val="21"/>
          <w:lang w:val="en-US" w:eastAsia="zh-CN"/>
        </w:rPr>
        <w:t>验证小组组员根据本方案的方法及步骤进行验证，记录结果并对结果进行相关分析。依据本方案的标准要求得出最终的验证结论，并编写验证报告。验证相关文档需经过审核、批准后归档。</w:t>
      </w:r>
    </w:p>
    <w:p>
      <w:pPr>
        <w:keepNext/>
        <w:keepLines/>
        <w:widowControl w:val="0"/>
        <w:numPr>
          <w:ilvl w:val="0"/>
          <w:numId w:val="4"/>
        </w:numPr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18" w:name="_Toc24535"/>
      <w:bookmarkStart w:id="119" w:name="_Toc22013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附件</w:t>
      </w:r>
      <w:bookmarkEnd w:id="118"/>
      <w:bookmarkEnd w:id="119"/>
    </w:p>
    <w:p>
      <w:pPr>
        <w:bidi w:val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《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MS-003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升降机构验证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记录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表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_样表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》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sectPr>
      <w:headerReference r:id="rId9" w:type="first"/>
      <w:headerReference r:id="rId7" w:type="default"/>
      <w:footerReference r:id="rId10" w:type="default"/>
      <w:headerReference r:id="rId8" w:type="even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tabs>
        <w:tab w:val="left" w:pos="3013"/>
      </w:tabs>
      <w:adjustRightInd/>
      <w:snapToGrid w:val="0"/>
      <w:spacing w:beforeLines="-2147483648" w:afterLines="-2147483648" w:line="360" w:lineRule="auto"/>
      <w:jc w:val="left"/>
      <w:rPr>
        <w:rFonts w:hint="eastAsia" w:eastAsia="宋体" w:asciiTheme="minorAscii" w:hAnsiTheme="minorAscii" w:cstheme="minorBidi"/>
        <w:kern w:val="2"/>
        <w:sz w:val="18"/>
        <w:szCs w:val="24"/>
        <w:lang w:val="en-US" w:eastAsia="zh-CN" w:bidi="ar-SA"/>
      </w:rPr>
    </w:pPr>
    <w:r>
      <w:rPr>
        <w:rFonts w:eastAsia="宋体" w:asciiTheme="minorAscii" w:hAnsiTheme="minorAscii" w:cstheme="minorBidi"/>
        <w:kern w:val="2"/>
        <w:sz w:val="18"/>
        <w:szCs w:val="24"/>
        <w:lang w:val="en-US" w:eastAsia="zh-C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adjustRightInd/>
                            <w:snapToGrid w:val="0"/>
                            <w:spacing w:beforeLines="-2147483648" w:afterLines="-2147483648" w:line="360" w:lineRule="auto"/>
                            <w:jc w:val="left"/>
                            <w:rPr>
                              <w:rFonts w:hint="default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niKxQ4AgAAbwQAAA4AAABkcnMvZTJvRG9jLnhtbK1UzY7aMBC+V+o7&#10;WL6XABUrhAgruoiqEuquRKuejeOQSP6TbUjoA7Rv0FMvvfe5eI797BC22vawh17C2DP+Zr5vZpjf&#10;tkqSo3C+Njqno8GQEqG5KWq9z+nnT+s3U0p8YLpg0miR05Pw9Hbx+tW8sTMxNpWRhXAEINrPGpvT&#10;KgQ7yzLPK6GYHxgrNJylcYoFHN0+KxxrgK5kNh4Ob7LGuMI6w4X3uF11TnpBdC8BNGVZc7Ey/KCE&#10;Dh2qE5IFUPJVbT1dpGrLUvBwX5ZeBCJzCqYhfZEE9i5+s8WczfaO2armlxLYS0p4xkmxWiPpFWrF&#10;AiMHV/8FpWrujDdlGHCjso5IUgQsRsNn2mwrZkXiAqm9vYru/x8s/3h8cKQucjqhRDOFhp9/fD//&#10;/H3+9Y1MojyN9TNEbS3iQvvOtBia/t7jMrJuS6fiL/gQ+CHu6SquaAPh8dF0PJ0O4eLw9QfgZ0/P&#10;rfPhvTCKRCOnDt1LorLjxocutA+J2bRZ11KmDkpNmpzevJ0M04OrB+BSx1iRZuECEyl1pUcrtLv2&#10;wnNnihNoOtPNibd8XaOUDfPhgTkMBsrH6oR7fEppkNJcLEoq477+6z7Go1/wUtJg0HKqsVeUyA8a&#10;fQRg6A3XG7ve0Ad1ZzC5I6yk5cnEAxdkb5bOqC/Yp2XMARfTHJlyGnrzLnTDjn3kYrlMQQfr6n3V&#10;PcAUWhY2emt5TBOl8nZ5CJA2KR4F6lRBp+IBc5h6dtmZOOh/nlPU0//E4h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OeIrFD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widowControl w:val="0"/>
                      <w:adjustRightInd/>
                      <w:snapToGrid w:val="0"/>
                      <w:spacing w:beforeLines="-2147483648" w:afterLines="-2147483648" w:line="360" w:lineRule="auto"/>
                      <w:jc w:val="left"/>
                      <w:rPr>
                        <w:rFonts w:hint="default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 w:eastAsia="宋体" w:asciiTheme="minorAscii" w:hAnsiTheme="minorAscii" w:cstheme="minorBidi"/>
        <w:kern w:val="2"/>
        <w:sz w:val="18"/>
        <w:szCs w:val="24"/>
        <w:lang w:val="en-US" w:eastAsia="zh-CN" w:bidi="ar-S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jc w:val="both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2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kX1r85AgAAcQQAAA4AAABkcnMvZTJvRG9jLnhtbK1UzY7TMBC+I/EO&#10;lu80bVesqqrpqmxVhFSxKy2Is+s4TST/yXablAeAN+DEhTvP1efYz07SRQuHPXBJx57xN/N9M9PF&#10;TaskOQrna6NzOhmNKRGam6LW+5x+/rR5M6PEB6YLJo0WOT0JT2+Wr18tGjsXU1MZWQhHAKL9vLE5&#10;rUKw8yzzvBKK+ZGxQsNZGqdYwNHts8KxBuhKZtPx+DprjCusM1x4j9t156Q9onsJoCnLmou14Qcl&#10;dOhQnZAsgJKvauvpMlVbloKHu7L0IhCZUzAN6YsksHfxmy0XbL53zFY170tgLynhGSfFao2kF6g1&#10;C4wcXP0XlKq5M96UYcSNyjoiSRGwmIyfafNQMSsSF0jt7UV0//9g+cfjvSN1gUm4okQzhY6ff3w/&#10;//x9/vWN4A4CNdbPEfdgERnad6ZF8HDvcRl5t6VT8ReMCPyQ93SRV7SB8PhoNp3NxnBx+IYD8LOn&#10;59b58F4YRaKRU4f+JVnZcetDFzqExGzabGopUw+lJk1Or6/ejtODiwfgUsdYkaahh4mUutKjFdpd&#10;2/PcmeIEms50k+It39QoZct8uGcOo4HysTzhDp9SGqQ0vUVJZdzXf93HeHQMXkoajFpONTaLEvlB&#10;o5MADIPhBmM3GPqgbg1md4KltDyZeOCCHMzSGfUFG7WKOeBimiNTTsNg3oZu3LGRXKxWKehgXb2v&#10;ugeYQ8vCVj9YHtNEqbxdHQKkTYpHgTpV0Kl4wCSmnvVbE0f9z3OKevqnWD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0lY7tAAAAAFAQAADwAAAAAAAAABACAAAAAiAAAAZHJzL2Rvd25yZXYueG1s&#10;UEsBAhQAFAAAAAgAh07iQDkX1r85AgAAcQQAAA4AAAAAAAAAAQAgAAAAHw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adjustRightInd/>
      <w:snapToGrid w:val="0"/>
      <w:spacing w:beforeLines="-2147483648" w:afterLines="-2147483648" w:line="240" w:lineRule="auto"/>
      <w:jc w:val="center"/>
      <w:outlineLvl w:val="9"/>
      <w:rPr>
        <w:rFonts w:hint="default" w:eastAsia="宋体" w:asciiTheme="minorAscii" w:hAnsiTheme="minorAscii" w:cstheme="minorBidi"/>
        <w:kern w:val="2"/>
        <w:sz w:val="21"/>
        <w:szCs w:val="32"/>
        <w:lang w:val="en-US" w:eastAsia="zh-CN" w:bidi="ar-SA"/>
      </w:rPr>
    </w:pPr>
    <w:r>
      <w:rPr>
        <w:rFonts w:hint="eastAsia" w:eastAsia="宋体" w:asciiTheme="minorAscii" w:hAnsiTheme="minorAscii" w:cstheme="minorBidi"/>
        <w:kern w:val="2"/>
        <w:sz w:val="21"/>
        <w:szCs w:val="32"/>
        <w:lang w:val="en-US" w:eastAsia="zh-CN" w:bidi="ar-SA"/>
      </w:rPr>
      <w:t xml:space="preserve">                                                       杭州三坛医疗科技有限公司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single" w:color="auto" w:sz="4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before="156" w:after="156" w:line="240" w:lineRule="auto"/>
      <w:textAlignment w:val="auto"/>
    </w:pPr>
    <w:r>
      <w:rPr>
        <w:rFonts w:hint="eastAsia" w:ascii="宋体" w:hAnsi="宋体" w:cs="宋体"/>
        <w:lang w:val="en-US" w:eastAsia="zh-CN"/>
      </w:rPr>
      <w:t xml:space="preserve">                </w:t>
    </w:r>
    <w:r>
      <w:rPr>
        <w:rFonts w:hint="eastAsia" w:ascii="Times New Roman" w:hAnsi="Times New Roman" w:cs="Times New Roman"/>
      </w:rPr>
      <w:t xml:space="preserve">     </w:t>
    </w:r>
    <w:r>
      <w:rPr>
        <w:rFonts w:hint="eastAsia" w:ascii="Times New Roman" w:hAnsi="Times New Roman" w:cs="Times New Roman"/>
        <w:lang w:val="en-US" w:eastAsia="zh-CN"/>
      </w:rPr>
      <w:t xml:space="preserve">                  </w:t>
    </w:r>
    <w:r>
      <w:rPr>
        <w:rFonts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  <w:lang w:val="en-US" w:eastAsia="zh-CN"/>
      </w:rPr>
      <w:t xml:space="preserve">    </w:t>
    </w:r>
    <w:r>
      <w:rPr>
        <w:rFonts w:hint="eastAsia"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  <w:lang w:val="en-US" w:eastAsia="zh-CN"/>
      </w:rPr>
      <w:t xml:space="preserve">       </w:t>
    </w:r>
    <w:r>
      <w:rPr>
        <w:rFonts w:hint="eastAsia"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杭州三坛医疗科技有限公司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8" o:spid="_x0000_s4103" o:spt="136" type="#_x0000_t136" style="position:absolute;left:0pt;height:195.15pt;width:390.3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7" o:spid="_x0000_s4102" o:spt="136" type="#_x0000_t136" style="position:absolute;left:0pt;height:195.15pt;width:390.3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5DB71C"/>
    <w:multiLevelType w:val="multilevel"/>
    <w:tmpl w:val="AD5DB71C"/>
    <w:lvl w:ilvl="0" w:tentative="0">
      <w:start w:val="1"/>
      <w:numFmt w:val="decimal"/>
      <w:isLgl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isLgl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B5CCFFBE"/>
    <w:multiLevelType w:val="singleLevel"/>
    <w:tmpl w:val="B5CCFFB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C088B9F8"/>
    <w:multiLevelType w:val="singleLevel"/>
    <w:tmpl w:val="C088B9F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CC67A1FC"/>
    <w:multiLevelType w:val="multilevel"/>
    <w:tmpl w:val="CC67A1FC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7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8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FFB3C5E0"/>
    <w:multiLevelType w:val="singleLevel"/>
    <w:tmpl w:val="FFB3C5E0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5">
    <w:nsid w:val="1222C758"/>
    <w:multiLevelType w:val="multilevel"/>
    <w:tmpl w:val="1222C758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6">
    <w:nsid w:val="63E8BCAC"/>
    <w:multiLevelType w:val="multilevel"/>
    <w:tmpl w:val="63E8BCAC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93554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17112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C4103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4B83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CE72AE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18C0EF4"/>
    <w:rsid w:val="018E45FF"/>
    <w:rsid w:val="019E0FFE"/>
    <w:rsid w:val="01AF7CCB"/>
    <w:rsid w:val="021A757B"/>
    <w:rsid w:val="02377AE8"/>
    <w:rsid w:val="03326971"/>
    <w:rsid w:val="03411B63"/>
    <w:rsid w:val="03464CD8"/>
    <w:rsid w:val="036E7EA8"/>
    <w:rsid w:val="03DC63F8"/>
    <w:rsid w:val="03DD057E"/>
    <w:rsid w:val="041520C6"/>
    <w:rsid w:val="042F233B"/>
    <w:rsid w:val="047936FC"/>
    <w:rsid w:val="04887288"/>
    <w:rsid w:val="04B675CD"/>
    <w:rsid w:val="04E74A1B"/>
    <w:rsid w:val="05072E07"/>
    <w:rsid w:val="05857E34"/>
    <w:rsid w:val="058E48C6"/>
    <w:rsid w:val="05C65424"/>
    <w:rsid w:val="0601120E"/>
    <w:rsid w:val="060B6CF2"/>
    <w:rsid w:val="06387B43"/>
    <w:rsid w:val="06841479"/>
    <w:rsid w:val="06856B77"/>
    <w:rsid w:val="068D3B56"/>
    <w:rsid w:val="070E46B4"/>
    <w:rsid w:val="072B7A21"/>
    <w:rsid w:val="07622B7B"/>
    <w:rsid w:val="0791088C"/>
    <w:rsid w:val="07BA2EB9"/>
    <w:rsid w:val="082902D7"/>
    <w:rsid w:val="082C4FD4"/>
    <w:rsid w:val="08842EBA"/>
    <w:rsid w:val="08987DAC"/>
    <w:rsid w:val="08C50210"/>
    <w:rsid w:val="08DD56D3"/>
    <w:rsid w:val="08E47B5E"/>
    <w:rsid w:val="0917053C"/>
    <w:rsid w:val="091F03CD"/>
    <w:rsid w:val="09383BDF"/>
    <w:rsid w:val="0964237C"/>
    <w:rsid w:val="098B57DE"/>
    <w:rsid w:val="0A1109BA"/>
    <w:rsid w:val="0A166FEB"/>
    <w:rsid w:val="0A1C3146"/>
    <w:rsid w:val="0A5C69A3"/>
    <w:rsid w:val="0A7160AA"/>
    <w:rsid w:val="0AD0756F"/>
    <w:rsid w:val="0AE55BDE"/>
    <w:rsid w:val="0BCB1EE5"/>
    <w:rsid w:val="0BE6284E"/>
    <w:rsid w:val="0C0A7D81"/>
    <w:rsid w:val="0C2F6395"/>
    <w:rsid w:val="0C417500"/>
    <w:rsid w:val="0C591190"/>
    <w:rsid w:val="0C8E198F"/>
    <w:rsid w:val="0CB07CB6"/>
    <w:rsid w:val="0CBA5453"/>
    <w:rsid w:val="0CDC09E4"/>
    <w:rsid w:val="0D2B4666"/>
    <w:rsid w:val="0D704035"/>
    <w:rsid w:val="0D845834"/>
    <w:rsid w:val="0DC22200"/>
    <w:rsid w:val="0DCD2F6A"/>
    <w:rsid w:val="0E1349C9"/>
    <w:rsid w:val="0E3633E9"/>
    <w:rsid w:val="0E3A4801"/>
    <w:rsid w:val="0E771524"/>
    <w:rsid w:val="0E7B35D5"/>
    <w:rsid w:val="0E7C438D"/>
    <w:rsid w:val="0E846D72"/>
    <w:rsid w:val="0EB941BD"/>
    <w:rsid w:val="0EE50E4B"/>
    <w:rsid w:val="0EEB5C4E"/>
    <w:rsid w:val="0F1B763C"/>
    <w:rsid w:val="0F766F83"/>
    <w:rsid w:val="0F781D93"/>
    <w:rsid w:val="0FBB1C1F"/>
    <w:rsid w:val="100B4F7A"/>
    <w:rsid w:val="105F560E"/>
    <w:rsid w:val="10AE1A56"/>
    <w:rsid w:val="11DA4719"/>
    <w:rsid w:val="120D2650"/>
    <w:rsid w:val="12261940"/>
    <w:rsid w:val="122B6832"/>
    <w:rsid w:val="1264281A"/>
    <w:rsid w:val="12BE198C"/>
    <w:rsid w:val="12CF70D9"/>
    <w:rsid w:val="12E86988"/>
    <w:rsid w:val="13291624"/>
    <w:rsid w:val="13302955"/>
    <w:rsid w:val="1359264A"/>
    <w:rsid w:val="13C04B8D"/>
    <w:rsid w:val="14202994"/>
    <w:rsid w:val="14772FBD"/>
    <w:rsid w:val="147F0A9B"/>
    <w:rsid w:val="14C764EB"/>
    <w:rsid w:val="14F47F34"/>
    <w:rsid w:val="151C63E2"/>
    <w:rsid w:val="1528207A"/>
    <w:rsid w:val="154C7D85"/>
    <w:rsid w:val="15840771"/>
    <w:rsid w:val="158C144B"/>
    <w:rsid w:val="15C12A2D"/>
    <w:rsid w:val="161C11D8"/>
    <w:rsid w:val="16444FD4"/>
    <w:rsid w:val="166A618B"/>
    <w:rsid w:val="166C387D"/>
    <w:rsid w:val="169F1A3C"/>
    <w:rsid w:val="16A371F1"/>
    <w:rsid w:val="16BC7EF5"/>
    <w:rsid w:val="16F119F4"/>
    <w:rsid w:val="171131CA"/>
    <w:rsid w:val="17291566"/>
    <w:rsid w:val="179B172E"/>
    <w:rsid w:val="17CD2ADB"/>
    <w:rsid w:val="17F87FDD"/>
    <w:rsid w:val="184C5D45"/>
    <w:rsid w:val="1858237C"/>
    <w:rsid w:val="186E51A7"/>
    <w:rsid w:val="18922C12"/>
    <w:rsid w:val="191B7792"/>
    <w:rsid w:val="193E7F56"/>
    <w:rsid w:val="19CE2367"/>
    <w:rsid w:val="19D92A02"/>
    <w:rsid w:val="1A0327AB"/>
    <w:rsid w:val="1A4C1975"/>
    <w:rsid w:val="1A53112B"/>
    <w:rsid w:val="1A5D29FA"/>
    <w:rsid w:val="1A83790B"/>
    <w:rsid w:val="1A86603D"/>
    <w:rsid w:val="1AEC77F1"/>
    <w:rsid w:val="1B753B17"/>
    <w:rsid w:val="1B94134A"/>
    <w:rsid w:val="1BA0491E"/>
    <w:rsid w:val="1C5707D6"/>
    <w:rsid w:val="1C9555E4"/>
    <w:rsid w:val="1CD30AF8"/>
    <w:rsid w:val="1CEF14DD"/>
    <w:rsid w:val="1CFC3931"/>
    <w:rsid w:val="1D7F069E"/>
    <w:rsid w:val="1DA21EF9"/>
    <w:rsid w:val="1DDB3B92"/>
    <w:rsid w:val="1DF054F7"/>
    <w:rsid w:val="1DF87754"/>
    <w:rsid w:val="1DFC2656"/>
    <w:rsid w:val="1E6E7D2D"/>
    <w:rsid w:val="1E853548"/>
    <w:rsid w:val="1EDE4B3C"/>
    <w:rsid w:val="1EFA772E"/>
    <w:rsid w:val="1F886264"/>
    <w:rsid w:val="1FBB56A4"/>
    <w:rsid w:val="1FE1234A"/>
    <w:rsid w:val="202979F0"/>
    <w:rsid w:val="2066222C"/>
    <w:rsid w:val="208E7074"/>
    <w:rsid w:val="210A410B"/>
    <w:rsid w:val="21222C3B"/>
    <w:rsid w:val="212E613A"/>
    <w:rsid w:val="213F76AE"/>
    <w:rsid w:val="217C0CE0"/>
    <w:rsid w:val="21A70C18"/>
    <w:rsid w:val="21C83B7A"/>
    <w:rsid w:val="21D20A36"/>
    <w:rsid w:val="21D656EA"/>
    <w:rsid w:val="22156154"/>
    <w:rsid w:val="2263410A"/>
    <w:rsid w:val="22FA4869"/>
    <w:rsid w:val="23241DE5"/>
    <w:rsid w:val="23604D89"/>
    <w:rsid w:val="237C2FBE"/>
    <w:rsid w:val="237C40F5"/>
    <w:rsid w:val="23A6794E"/>
    <w:rsid w:val="2439695D"/>
    <w:rsid w:val="245C5302"/>
    <w:rsid w:val="24A00F61"/>
    <w:rsid w:val="24AC6E16"/>
    <w:rsid w:val="24D11E65"/>
    <w:rsid w:val="24FB37FD"/>
    <w:rsid w:val="257272B2"/>
    <w:rsid w:val="25826A53"/>
    <w:rsid w:val="25877463"/>
    <w:rsid w:val="25A1304D"/>
    <w:rsid w:val="25AC437E"/>
    <w:rsid w:val="25B50E44"/>
    <w:rsid w:val="25DA6EF3"/>
    <w:rsid w:val="25DA7B82"/>
    <w:rsid w:val="25FE3DF6"/>
    <w:rsid w:val="262C5170"/>
    <w:rsid w:val="26596925"/>
    <w:rsid w:val="265F2854"/>
    <w:rsid w:val="26612F1B"/>
    <w:rsid w:val="26807A16"/>
    <w:rsid w:val="2690137A"/>
    <w:rsid w:val="26944144"/>
    <w:rsid w:val="26C85E41"/>
    <w:rsid w:val="27166EBC"/>
    <w:rsid w:val="27174C5C"/>
    <w:rsid w:val="273B2347"/>
    <w:rsid w:val="274A5031"/>
    <w:rsid w:val="275060B2"/>
    <w:rsid w:val="27D11D51"/>
    <w:rsid w:val="28012D2D"/>
    <w:rsid w:val="2828646B"/>
    <w:rsid w:val="28780DDC"/>
    <w:rsid w:val="28836663"/>
    <w:rsid w:val="28C12115"/>
    <w:rsid w:val="28D21BC4"/>
    <w:rsid w:val="28FB6052"/>
    <w:rsid w:val="29423709"/>
    <w:rsid w:val="297C0475"/>
    <w:rsid w:val="299F371A"/>
    <w:rsid w:val="29AF1038"/>
    <w:rsid w:val="29C44016"/>
    <w:rsid w:val="29DF2214"/>
    <w:rsid w:val="29EB7226"/>
    <w:rsid w:val="29F04081"/>
    <w:rsid w:val="2A5A5432"/>
    <w:rsid w:val="2AAD0877"/>
    <w:rsid w:val="2AAE2C3C"/>
    <w:rsid w:val="2AF947D7"/>
    <w:rsid w:val="2B3F692B"/>
    <w:rsid w:val="2B5C7794"/>
    <w:rsid w:val="2B81513B"/>
    <w:rsid w:val="2B9F0FD3"/>
    <w:rsid w:val="2BAA24E4"/>
    <w:rsid w:val="2C1E2157"/>
    <w:rsid w:val="2C554DD5"/>
    <w:rsid w:val="2C6B0C29"/>
    <w:rsid w:val="2C700036"/>
    <w:rsid w:val="2CC739FB"/>
    <w:rsid w:val="2CF50F45"/>
    <w:rsid w:val="2D085487"/>
    <w:rsid w:val="2D115D8D"/>
    <w:rsid w:val="2D1648F9"/>
    <w:rsid w:val="2D6A5048"/>
    <w:rsid w:val="2E0D0FB1"/>
    <w:rsid w:val="2ED57479"/>
    <w:rsid w:val="2EE96C29"/>
    <w:rsid w:val="2F41392E"/>
    <w:rsid w:val="2F4377AB"/>
    <w:rsid w:val="2F6958BF"/>
    <w:rsid w:val="2F755BEE"/>
    <w:rsid w:val="2F8B5616"/>
    <w:rsid w:val="2FA217FA"/>
    <w:rsid w:val="2FA904FF"/>
    <w:rsid w:val="2FB56A31"/>
    <w:rsid w:val="2FD15513"/>
    <w:rsid w:val="30356E45"/>
    <w:rsid w:val="30772250"/>
    <w:rsid w:val="30CE2ED2"/>
    <w:rsid w:val="30EF4239"/>
    <w:rsid w:val="312177BE"/>
    <w:rsid w:val="31C14B20"/>
    <w:rsid w:val="31C95A08"/>
    <w:rsid w:val="31E30FC7"/>
    <w:rsid w:val="31F52ADD"/>
    <w:rsid w:val="322614D1"/>
    <w:rsid w:val="32734764"/>
    <w:rsid w:val="327D4AD5"/>
    <w:rsid w:val="32927538"/>
    <w:rsid w:val="32AB2E20"/>
    <w:rsid w:val="32D2262F"/>
    <w:rsid w:val="32E61F46"/>
    <w:rsid w:val="332226A2"/>
    <w:rsid w:val="33956C61"/>
    <w:rsid w:val="33EA4841"/>
    <w:rsid w:val="34B45B20"/>
    <w:rsid w:val="35363BF7"/>
    <w:rsid w:val="35A42B41"/>
    <w:rsid w:val="35B845F8"/>
    <w:rsid w:val="35BE082F"/>
    <w:rsid w:val="35E30615"/>
    <w:rsid w:val="360F2D63"/>
    <w:rsid w:val="3636736B"/>
    <w:rsid w:val="36903CB5"/>
    <w:rsid w:val="36E34D6C"/>
    <w:rsid w:val="37344C4E"/>
    <w:rsid w:val="374B58ED"/>
    <w:rsid w:val="37636AF0"/>
    <w:rsid w:val="376F7D8B"/>
    <w:rsid w:val="37D334BD"/>
    <w:rsid w:val="37D82204"/>
    <w:rsid w:val="3831689A"/>
    <w:rsid w:val="384835A1"/>
    <w:rsid w:val="38561DEF"/>
    <w:rsid w:val="387F4B11"/>
    <w:rsid w:val="3889340B"/>
    <w:rsid w:val="38AA657B"/>
    <w:rsid w:val="38BB5C4A"/>
    <w:rsid w:val="38BB6A49"/>
    <w:rsid w:val="38DA36FB"/>
    <w:rsid w:val="391A0F51"/>
    <w:rsid w:val="392C0D79"/>
    <w:rsid w:val="3940537B"/>
    <w:rsid w:val="394B5A2C"/>
    <w:rsid w:val="39581839"/>
    <w:rsid w:val="39732C58"/>
    <w:rsid w:val="397A4CD3"/>
    <w:rsid w:val="39B44AD7"/>
    <w:rsid w:val="3A787E5D"/>
    <w:rsid w:val="3A8B353F"/>
    <w:rsid w:val="3AE211A3"/>
    <w:rsid w:val="3AFB613A"/>
    <w:rsid w:val="3B1F6627"/>
    <w:rsid w:val="3B2F4B6E"/>
    <w:rsid w:val="3B766081"/>
    <w:rsid w:val="3C0E3F85"/>
    <w:rsid w:val="3C4E0078"/>
    <w:rsid w:val="3C547DBA"/>
    <w:rsid w:val="3CAB7C27"/>
    <w:rsid w:val="3CB44FCF"/>
    <w:rsid w:val="3CBE695C"/>
    <w:rsid w:val="3CE93B0F"/>
    <w:rsid w:val="3CF22836"/>
    <w:rsid w:val="3D3324C3"/>
    <w:rsid w:val="3D734278"/>
    <w:rsid w:val="3D8E3FC9"/>
    <w:rsid w:val="3DA47D84"/>
    <w:rsid w:val="3DA8020F"/>
    <w:rsid w:val="3DCB78C2"/>
    <w:rsid w:val="3DED67E2"/>
    <w:rsid w:val="3E182EF9"/>
    <w:rsid w:val="3E213DB0"/>
    <w:rsid w:val="3E3D5255"/>
    <w:rsid w:val="3E3F74B1"/>
    <w:rsid w:val="3E580550"/>
    <w:rsid w:val="3E5E45A8"/>
    <w:rsid w:val="3E68010D"/>
    <w:rsid w:val="3E904E16"/>
    <w:rsid w:val="3EBE4AC0"/>
    <w:rsid w:val="3EF825F8"/>
    <w:rsid w:val="3F071D45"/>
    <w:rsid w:val="3F4902E5"/>
    <w:rsid w:val="3F4E4F15"/>
    <w:rsid w:val="3F9705DF"/>
    <w:rsid w:val="3F9B06D8"/>
    <w:rsid w:val="3FA30D55"/>
    <w:rsid w:val="3FF165FC"/>
    <w:rsid w:val="40065243"/>
    <w:rsid w:val="40322BB3"/>
    <w:rsid w:val="40870D38"/>
    <w:rsid w:val="409376C2"/>
    <w:rsid w:val="40995428"/>
    <w:rsid w:val="409B762D"/>
    <w:rsid w:val="409D0A8A"/>
    <w:rsid w:val="40D65FD8"/>
    <w:rsid w:val="40DE464C"/>
    <w:rsid w:val="41905120"/>
    <w:rsid w:val="41A677F1"/>
    <w:rsid w:val="41D002A5"/>
    <w:rsid w:val="41D67077"/>
    <w:rsid w:val="42095340"/>
    <w:rsid w:val="425D6094"/>
    <w:rsid w:val="42A03924"/>
    <w:rsid w:val="42CB1932"/>
    <w:rsid w:val="42E5528F"/>
    <w:rsid w:val="43A053BD"/>
    <w:rsid w:val="43BA7558"/>
    <w:rsid w:val="44113CF4"/>
    <w:rsid w:val="44190B9C"/>
    <w:rsid w:val="45006471"/>
    <w:rsid w:val="45170D3A"/>
    <w:rsid w:val="451A30BF"/>
    <w:rsid w:val="45351C9E"/>
    <w:rsid w:val="45740EDB"/>
    <w:rsid w:val="457D7183"/>
    <w:rsid w:val="459A23F9"/>
    <w:rsid w:val="45B93495"/>
    <w:rsid w:val="45DD36F6"/>
    <w:rsid w:val="462C0AE6"/>
    <w:rsid w:val="46591DBE"/>
    <w:rsid w:val="468B6F34"/>
    <w:rsid w:val="46A82C0F"/>
    <w:rsid w:val="46BF0E7A"/>
    <w:rsid w:val="46E207A3"/>
    <w:rsid w:val="47234D70"/>
    <w:rsid w:val="47583121"/>
    <w:rsid w:val="47E05224"/>
    <w:rsid w:val="47F20073"/>
    <w:rsid w:val="47FB1DA3"/>
    <w:rsid w:val="480C5160"/>
    <w:rsid w:val="481B11EA"/>
    <w:rsid w:val="48A65BB4"/>
    <w:rsid w:val="48BA7D6A"/>
    <w:rsid w:val="48C20A74"/>
    <w:rsid w:val="48D622EC"/>
    <w:rsid w:val="495A6EFE"/>
    <w:rsid w:val="49722CA6"/>
    <w:rsid w:val="4A441F27"/>
    <w:rsid w:val="4A8543F7"/>
    <w:rsid w:val="4A973654"/>
    <w:rsid w:val="4ABE24F7"/>
    <w:rsid w:val="4ACA5C63"/>
    <w:rsid w:val="4AD53E5C"/>
    <w:rsid w:val="4AF04B15"/>
    <w:rsid w:val="4B4F4775"/>
    <w:rsid w:val="4B6D6660"/>
    <w:rsid w:val="4B74404D"/>
    <w:rsid w:val="4B7B12A7"/>
    <w:rsid w:val="4B877A94"/>
    <w:rsid w:val="4BA23ADF"/>
    <w:rsid w:val="4BD64DCC"/>
    <w:rsid w:val="4BD96800"/>
    <w:rsid w:val="4BDE654C"/>
    <w:rsid w:val="4C0773E1"/>
    <w:rsid w:val="4C167918"/>
    <w:rsid w:val="4C6845A4"/>
    <w:rsid w:val="4C715F44"/>
    <w:rsid w:val="4C815570"/>
    <w:rsid w:val="4CA31FA5"/>
    <w:rsid w:val="4CA937A5"/>
    <w:rsid w:val="4CB44A8C"/>
    <w:rsid w:val="4CD64A8D"/>
    <w:rsid w:val="4CF802FD"/>
    <w:rsid w:val="4D164815"/>
    <w:rsid w:val="4D7275C9"/>
    <w:rsid w:val="4D801712"/>
    <w:rsid w:val="4DC10EE5"/>
    <w:rsid w:val="4DE92126"/>
    <w:rsid w:val="4DEE73AA"/>
    <w:rsid w:val="4E17392C"/>
    <w:rsid w:val="4E5F597B"/>
    <w:rsid w:val="4E71637E"/>
    <w:rsid w:val="4E890ED9"/>
    <w:rsid w:val="4E936A79"/>
    <w:rsid w:val="4EAD5058"/>
    <w:rsid w:val="4ECE31EE"/>
    <w:rsid w:val="4F4D2388"/>
    <w:rsid w:val="4F7E5C01"/>
    <w:rsid w:val="502620F5"/>
    <w:rsid w:val="503C1402"/>
    <w:rsid w:val="503C5DD0"/>
    <w:rsid w:val="505C6252"/>
    <w:rsid w:val="505F6CF7"/>
    <w:rsid w:val="506675FF"/>
    <w:rsid w:val="50833832"/>
    <w:rsid w:val="51114EEF"/>
    <w:rsid w:val="514002AB"/>
    <w:rsid w:val="517A0A96"/>
    <w:rsid w:val="51A40068"/>
    <w:rsid w:val="51D00B5A"/>
    <w:rsid w:val="5211791B"/>
    <w:rsid w:val="525F52C4"/>
    <w:rsid w:val="526F715F"/>
    <w:rsid w:val="52A10081"/>
    <w:rsid w:val="52E83E40"/>
    <w:rsid w:val="53282999"/>
    <w:rsid w:val="53645648"/>
    <w:rsid w:val="53C00E8A"/>
    <w:rsid w:val="53F06ED2"/>
    <w:rsid w:val="53FB1593"/>
    <w:rsid w:val="5401416D"/>
    <w:rsid w:val="543845B3"/>
    <w:rsid w:val="54F44C64"/>
    <w:rsid w:val="54F50F86"/>
    <w:rsid w:val="551E5CEB"/>
    <w:rsid w:val="552D5FC7"/>
    <w:rsid w:val="55305BF1"/>
    <w:rsid w:val="55432336"/>
    <w:rsid w:val="558B2D84"/>
    <w:rsid w:val="55D15F6C"/>
    <w:rsid w:val="55FD55D0"/>
    <w:rsid w:val="5609140E"/>
    <w:rsid w:val="567B774D"/>
    <w:rsid w:val="56872F86"/>
    <w:rsid w:val="5690091A"/>
    <w:rsid w:val="56A6019C"/>
    <w:rsid w:val="56C85983"/>
    <w:rsid w:val="56CF60B8"/>
    <w:rsid w:val="56E46484"/>
    <w:rsid w:val="57006093"/>
    <w:rsid w:val="570D7A10"/>
    <w:rsid w:val="576A2D00"/>
    <w:rsid w:val="576F04BC"/>
    <w:rsid w:val="57CA1460"/>
    <w:rsid w:val="57D15DB3"/>
    <w:rsid w:val="57D15EB0"/>
    <w:rsid w:val="57D60097"/>
    <w:rsid w:val="582763B9"/>
    <w:rsid w:val="58337B93"/>
    <w:rsid w:val="584A62C3"/>
    <w:rsid w:val="587D651D"/>
    <w:rsid w:val="5888067D"/>
    <w:rsid w:val="58DB471F"/>
    <w:rsid w:val="5908515D"/>
    <w:rsid w:val="59382BA2"/>
    <w:rsid w:val="59615378"/>
    <w:rsid w:val="5991247C"/>
    <w:rsid w:val="59B4591A"/>
    <w:rsid w:val="59D42E16"/>
    <w:rsid w:val="59EF7A22"/>
    <w:rsid w:val="5A1E3D25"/>
    <w:rsid w:val="5A4B619A"/>
    <w:rsid w:val="5A697F8F"/>
    <w:rsid w:val="5AA56735"/>
    <w:rsid w:val="5AEB64B7"/>
    <w:rsid w:val="5AF56C51"/>
    <w:rsid w:val="5B2007DA"/>
    <w:rsid w:val="5B3D25E5"/>
    <w:rsid w:val="5B6236A9"/>
    <w:rsid w:val="5B886B1C"/>
    <w:rsid w:val="5BD75A7C"/>
    <w:rsid w:val="5C0C5E39"/>
    <w:rsid w:val="5C5C7385"/>
    <w:rsid w:val="5C7663A1"/>
    <w:rsid w:val="5CAE39A7"/>
    <w:rsid w:val="5CB84E52"/>
    <w:rsid w:val="5CC85020"/>
    <w:rsid w:val="5CD355FF"/>
    <w:rsid w:val="5D5521AD"/>
    <w:rsid w:val="5D5B198B"/>
    <w:rsid w:val="5D7C7B5A"/>
    <w:rsid w:val="5D9A1BC1"/>
    <w:rsid w:val="5E0065D6"/>
    <w:rsid w:val="5E0C752B"/>
    <w:rsid w:val="5E4F6C1E"/>
    <w:rsid w:val="5E530E11"/>
    <w:rsid w:val="5E6F3CB9"/>
    <w:rsid w:val="5E794373"/>
    <w:rsid w:val="5E88169C"/>
    <w:rsid w:val="5EBF5418"/>
    <w:rsid w:val="5EC141AC"/>
    <w:rsid w:val="5ED6568E"/>
    <w:rsid w:val="5F044004"/>
    <w:rsid w:val="5F3C48AE"/>
    <w:rsid w:val="5F7679E3"/>
    <w:rsid w:val="5FA6729F"/>
    <w:rsid w:val="5FAA587F"/>
    <w:rsid w:val="5FC2173A"/>
    <w:rsid w:val="5FE750F1"/>
    <w:rsid w:val="6021723D"/>
    <w:rsid w:val="60311AF5"/>
    <w:rsid w:val="603718EF"/>
    <w:rsid w:val="607C3637"/>
    <w:rsid w:val="60992A4B"/>
    <w:rsid w:val="60AC7F36"/>
    <w:rsid w:val="612A6D98"/>
    <w:rsid w:val="61A23989"/>
    <w:rsid w:val="61FC46FA"/>
    <w:rsid w:val="622F5DC3"/>
    <w:rsid w:val="626D3C7B"/>
    <w:rsid w:val="627834B1"/>
    <w:rsid w:val="62B8223B"/>
    <w:rsid w:val="62C467FF"/>
    <w:rsid w:val="62DB460A"/>
    <w:rsid w:val="630D347E"/>
    <w:rsid w:val="633F4274"/>
    <w:rsid w:val="635B39B9"/>
    <w:rsid w:val="63BD7C10"/>
    <w:rsid w:val="63FB5945"/>
    <w:rsid w:val="640219D3"/>
    <w:rsid w:val="649233AB"/>
    <w:rsid w:val="649E4B21"/>
    <w:rsid w:val="64E53EB8"/>
    <w:rsid w:val="651728C8"/>
    <w:rsid w:val="6520607E"/>
    <w:rsid w:val="65DB13DF"/>
    <w:rsid w:val="65E4754F"/>
    <w:rsid w:val="66336C28"/>
    <w:rsid w:val="6636079B"/>
    <w:rsid w:val="663C7D18"/>
    <w:rsid w:val="666E3CBE"/>
    <w:rsid w:val="668C44A1"/>
    <w:rsid w:val="66A333B7"/>
    <w:rsid w:val="670137FC"/>
    <w:rsid w:val="67611C38"/>
    <w:rsid w:val="67A3084C"/>
    <w:rsid w:val="67B12EC5"/>
    <w:rsid w:val="67C4324C"/>
    <w:rsid w:val="67E37932"/>
    <w:rsid w:val="67F90306"/>
    <w:rsid w:val="684412BF"/>
    <w:rsid w:val="684E48AC"/>
    <w:rsid w:val="687E3113"/>
    <w:rsid w:val="6885240E"/>
    <w:rsid w:val="688A1FE7"/>
    <w:rsid w:val="68A064E1"/>
    <w:rsid w:val="68A86FBD"/>
    <w:rsid w:val="68B1799F"/>
    <w:rsid w:val="68CB4B42"/>
    <w:rsid w:val="68FB5B55"/>
    <w:rsid w:val="690627E3"/>
    <w:rsid w:val="698270F2"/>
    <w:rsid w:val="69890277"/>
    <w:rsid w:val="698B3325"/>
    <w:rsid w:val="69A04061"/>
    <w:rsid w:val="69A407FA"/>
    <w:rsid w:val="69A72AA1"/>
    <w:rsid w:val="69AA02F2"/>
    <w:rsid w:val="69C021D8"/>
    <w:rsid w:val="6A420E3E"/>
    <w:rsid w:val="6A7A30FE"/>
    <w:rsid w:val="6AED31A3"/>
    <w:rsid w:val="6AF27491"/>
    <w:rsid w:val="6B0D30FE"/>
    <w:rsid w:val="6B112BF1"/>
    <w:rsid w:val="6B5B7EE1"/>
    <w:rsid w:val="6B5C5D3C"/>
    <w:rsid w:val="6BF63E90"/>
    <w:rsid w:val="6C151433"/>
    <w:rsid w:val="6C5C3A73"/>
    <w:rsid w:val="6C724E43"/>
    <w:rsid w:val="6CF97265"/>
    <w:rsid w:val="6D1278E4"/>
    <w:rsid w:val="6D51004E"/>
    <w:rsid w:val="6D533DF8"/>
    <w:rsid w:val="6D675289"/>
    <w:rsid w:val="6D8919B0"/>
    <w:rsid w:val="6DB6633D"/>
    <w:rsid w:val="6DB92067"/>
    <w:rsid w:val="6DE203BF"/>
    <w:rsid w:val="6DEB13F7"/>
    <w:rsid w:val="6E7B6EBD"/>
    <w:rsid w:val="6E890338"/>
    <w:rsid w:val="6E8E74BF"/>
    <w:rsid w:val="6EA72622"/>
    <w:rsid w:val="6F0033CF"/>
    <w:rsid w:val="6F2479BB"/>
    <w:rsid w:val="6F305F17"/>
    <w:rsid w:val="6F471F32"/>
    <w:rsid w:val="6F576A46"/>
    <w:rsid w:val="6F72611D"/>
    <w:rsid w:val="6F800BBD"/>
    <w:rsid w:val="6F82755C"/>
    <w:rsid w:val="6FF730A4"/>
    <w:rsid w:val="701B7484"/>
    <w:rsid w:val="701C4862"/>
    <w:rsid w:val="70682E70"/>
    <w:rsid w:val="70695FCF"/>
    <w:rsid w:val="708B217F"/>
    <w:rsid w:val="70A55F27"/>
    <w:rsid w:val="70F463C5"/>
    <w:rsid w:val="70F669E1"/>
    <w:rsid w:val="70FF1E62"/>
    <w:rsid w:val="7140607A"/>
    <w:rsid w:val="71891EB9"/>
    <w:rsid w:val="71A66178"/>
    <w:rsid w:val="71A834DF"/>
    <w:rsid w:val="71B06358"/>
    <w:rsid w:val="71B15CB9"/>
    <w:rsid w:val="71BA7C8A"/>
    <w:rsid w:val="71E91755"/>
    <w:rsid w:val="72053948"/>
    <w:rsid w:val="722B4AF0"/>
    <w:rsid w:val="72C038DF"/>
    <w:rsid w:val="72D40070"/>
    <w:rsid w:val="72EF4ACF"/>
    <w:rsid w:val="72FF3BC9"/>
    <w:rsid w:val="73542254"/>
    <w:rsid w:val="737E5048"/>
    <w:rsid w:val="73A32522"/>
    <w:rsid w:val="73A77581"/>
    <w:rsid w:val="73E822A5"/>
    <w:rsid w:val="73FD3E65"/>
    <w:rsid w:val="742838E7"/>
    <w:rsid w:val="7437414A"/>
    <w:rsid w:val="745E1E8C"/>
    <w:rsid w:val="74706716"/>
    <w:rsid w:val="750137E2"/>
    <w:rsid w:val="75054E3E"/>
    <w:rsid w:val="753328B9"/>
    <w:rsid w:val="75A97CA5"/>
    <w:rsid w:val="76004C91"/>
    <w:rsid w:val="762835E4"/>
    <w:rsid w:val="764F5CB2"/>
    <w:rsid w:val="76E0667F"/>
    <w:rsid w:val="76FA0A49"/>
    <w:rsid w:val="776E4EDE"/>
    <w:rsid w:val="77957652"/>
    <w:rsid w:val="77B834F8"/>
    <w:rsid w:val="77C06F6A"/>
    <w:rsid w:val="77E656FC"/>
    <w:rsid w:val="78070232"/>
    <w:rsid w:val="786020ED"/>
    <w:rsid w:val="7871522C"/>
    <w:rsid w:val="7885677F"/>
    <w:rsid w:val="78985F5B"/>
    <w:rsid w:val="78B752CC"/>
    <w:rsid w:val="78C05EB0"/>
    <w:rsid w:val="78F42014"/>
    <w:rsid w:val="78FD5394"/>
    <w:rsid w:val="791A065E"/>
    <w:rsid w:val="791B4433"/>
    <w:rsid w:val="79330A39"/>
    <w:rsid w:val="79D47E27"/>
    <w:rsid w:val="7A295F71"/>
    <w:rsid w:val="7A4D1663"/>
    <w:rsid w:val="7AA26E0A"/>
    <w:rsid w:val="7AA4324D"/>
    <w:rsid w:val="7AA63CB3"/>
    <w:rsid w:val="7AEC51FB"/>
    <w:rsid w:val="7AF12A6C"/>
    <w:rsid w:val="7B1B4009"/>
    <w:rsid w:val="7C215EFA"/>
    <w:rsid w:val="7C3E777C"/>
    <w:rsid w:val="7C7715C0"/>
    <w:rsid w:val="7C8E1C21"/>
    <w:rsid w:val="7C8F30E4"/>
    <w:rsid w:val="7CB54C32"/>
    <w:rsid w:val="7CBA56DC"/>
    <w:rsid w:val="7CBE2D25"/>
    <w:rsid w:val="7CC112A6"/>
    <w:rsid w:val="7CF05B2D"/>
    <w:rsid w:val="7D2B3744"/>
    <w:rsid w:val="7D984CD3"/>
    <w:rsid w:val="7DB208E1"/>
    <w:rsid w:val="7E443C37"/>
    <w:rsid w:val="7E4B08C1"/>
    <w:rsid w:val="7E520754"/>
    <w:rsid w:val="7EAE1A46"/>
    <w:rsid w:val="7ED8510A"/>
    <w:rsid w:val="7F125A5C"/>
    <w:rsid w:val="7F527666"/>
    <w:rsid w:val="7F6D25F9"/>
    <w:rsid w:val="7F8405CC"/>
    <w:rsid w:val="7FC40B23"/>
    <w:rsid w:val="7FEC44E4"/>
    <w:rsid w:val="7FEF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spacing w:beforeLines="50" w:afterLines="50" w:line="36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3">
    <w:name w:val="heading 1"/>
    <w:basedOn w:val="4"/>
    <w:next w:val="1"/>
    <w:qFormat/>
    <w:uiPriority w:val="0"/>
    <w:pPr>
      <w:keepNext/>
      <w:keepLines/>
      <w:numPr>
        <w:ilvl w:val="0"/>
        <w:numId w:val="1"/>
      </w:numPr>
      <w:spacing w:beforeLines="100" w:afterLines="100"/>
      <w:ind w:left="425" w:hanging="425"/>
      <w:outlineLvl w:val="0"/>
    </w:pPr>
    <w:rPr>
      <w:b/>
      <w:bCs/>
      <w:kern w:val="44"/>
      <w:sz w:val="28"/>
      <w:szCs w:val="44"/>
    </w:rPr>
  </w:style>
  <w:style w:type="paragraph" w:styleId="5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ind w:left="850" w:hanging="453"/>
      <w:outlineLvl w:val="1"/>
    </w:pPr>
    <w:rPr>
      <w:b/>
      <w:bCs/>
      <w:sz w:val="24"/>
      <w:szCs w:val="32"/>
    </w:rPr>
  </w:style>
  <w:style w:type="paragraph" w:styleId="6">
    <w:name w:val="heading 3"/>
    <w:basedOn w:val="1"/>
    <w:next w:val="1"/>
    <w:qFormat/>
    <w:uiPriority w:val="0"/>
    <w:pPr>
      <w:keepNext/>
      <w:keepLines/>
      <w:numPr>
        <w:ilvl w:val="2"/>
        <w:numId w:val="2"/>
      </w:numPr>
      <w:spacing w:before="260" w:after="260" w:line="416" w:lineRule="auto"/>
      <w:ind w:left="1508" w:hanging="708"/>
      <w:outlineLvl w:val="2"/>
    </w:pPr>
    <w:rPr>
      <w:b/>
      <w:bCs/>
      <w:sz w:val="24"/>
      <w:szCs w:val="32"/>
    </w:rPr>
  </w:style>
  <w:style w:type="paragraph" w:styleId="7">
    <w:name w:val="heading 4"/>
    <w:basedOn w:val="1"/>
    <w:next w:val="1"/>
    <w:link w:val="36"/>
    <w:unhideWhenUsed/>
    <w:qFormat/>
    <w:uiPriority w:val="9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8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3"/>
      </w:numPr>
      <w:spacing w:beforeLines="0" w:afterLines="0" w:line="372" w:lineRule="auto"/>
      <w:outlineLvl w:val="4"/>
    </w:pPr>
    <w:rPr>
      <w:b/>
      <w:sz w:val="28"/>
    </w:rPr>
  </w:style>
  <w:style w:type="paragraph" w:styleId="9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3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10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3"/>
      </w:numPr>
      <w:spacing w:beforeLines="0" w:afterLines="0" w:line="317" w:lineRule="auto"/>
      <w:outlineLvl w:val="6"/>
    </w:pPr>
    <w:rPr>
      <w:b/>
      <w:sz w:val="24"/>
    </w:rPr>
  </w:style>
  <w:style w:type="paragraph" w:styleId="11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3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2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3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4">
    <w:name w:val="toc 1"/>
    <w:basedOn w:val="1"/>
    <w:next w:val="1"/>
    <w:qFormat/>
    <w:uiPriority w:val="39"/>
    <w:pPr>
      <w:spacing w:line="240" w:lineRule="auto"/>
    </w:pPr>
  </w:style>
  <w:style w:type="paragraph" w:styleId="13">
    <w:name w:val="toc 7"/>
    <w:basedOn w:val="1"/>
    <w:next w:val="1"/>
    <w:semiHidden/>
    <w:qFormat/>
    <w:uiPriority w:val="0"/>
    <w:pPr>
      <w:ind w:left="2520" w:leftChars="1200"/>
    </w:pPr>
  </w:style>
  <w:style w:type="paragraph" w:styleId="14">
    <w:name w:val="Document Map"/>
    <w:basedOn w:val="1"/>
    <w:link w:val="42"/>
    <w:semiHidden/>
    <w:unhideWhenUsed/>
    <w:qFormat/>
    <w:uiPriority w:val="99"/>
    <w:rPr>
      <w:rFonts w:ascii="宋体"/>
      <w:sz w:val="18"/>
      <w:szCs w:val="18"/>
    </w:rPr>
  </w:style>
  <w:style w:type="paragraph" w:styleId="15">
    <w:name w:val="annotation text"/>
    <w:basedOn w:val="1"/>
    <w:link w:val="39"/>
    <w:unhideWhenUsed/>
    <w:qFormat/>
    <w:uiPriority w:val="99"/>
    <w:rPr>
      <w:sz w:val="20"/>
      <w:szCs w:val="20"/>
    </w:rPr>
  </w:style>
  <w:style w:type="paragraph" w:styleId="16">
    <w:name w:val="Body Text"/>
    <w:basedOn w:val="1"/>
    <w:semiHidden/>
    <w:qFormat/>
    <w:uiPriority w:val="0"/>
    <w:rPr>
      <w:color w:val="FF0000"/>
    </w:rPr>
  </w:style>
  <w:style w:type="paragraph" w:styleId="17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8">
    <w:name w:val="toc 5"/>
    <w:basedOn w:val="1"/>
    <w:next w:val="1"/>
    <w:semiHidden/>
    <w:qFormat/>
    <w:uiPriority w:val="0"/>
    <w:pPr>
      <w:ind w:left="1680" w:leftChars="800"/>
    </w:pPr>
  </w:style>
  <w:style w:type="paragraph" w:styleId="19">
    <w:name w:val="toc 3"/>
    <w:basedOn w:val="1"/>
    <w:next w:val="1"/>
    <w:qFormat/>
    <w:uiPriority w:val="39"/>
    <w:pPr>
      <w:ind w:left="840" w:leftChars="400"/>
    </w:pPr>
  </w:style>
  <w:style w:type="paragraph" w:styleId="20">
    <w:name w:val="toc 8"/>
    <w:basedOn w:val="1"/>
    <w:next w:val="1"/>
    <w:semiHidden/>
    <w:qFormat/>
    <w:uiPriority w:val="0"/>
    <w:pPr>
      <w:ind w:left="2940" w:leftChars="1400"/>
    </w:pPr>
  </w:style>
  <w:style w:type="paragraph" w:styleId="21">
    <w:name w:val="Balloon Text"/>
    <w:basedOn w:val="1"/>
    <w:link w:val="41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2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3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4">
    <w:name w:val="toc 4"/>
    <w:basedOn w:val="1"/>
    <w:next w:val="1"/>
    <w:qFormat/>
    <w:uiPriority w:val="0"/>
    <w:pPr>
      <w:ind w:left="1260" w:leftChars="600"/>
    </w:pPr>
  </w:style>
  <w:style w:type="paragraph" w:styleId="25">
    <w:name w:val="toc 6"/>
    <w:basedOn w:val="1"/>
    <w:next w:val="1"/>
    <w:semiHidden/>
    <w:qFormat/>
    <w:uiPriority w:val="0"/>
    <w:pPr>
      <w:ind w:left="2100" w:leftChars="1000"/>
    </w:pPr>
  </w:style>
  <w:style w:type="paragraph" w:styleId="26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7">
    <w:name w:val="toc 9"/>
    <w:basedOn w:val="1"/>
    <w:next w:val="1"/>
    <w:semiHidden/>
    <w:qFormat/>
    <w:uiPriority w:val="0"/>
    <w:pPr>
      <w:ind w:left="3360" w:leftChars="1600"/>
    </w:pPr>
  </w:style>
  <w:style w:type="paragraph" w:styleId="2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9">
    <w:name w:val="annotation subject"/>
    <w:basedOn w:val="15"/>
    <w:next w:val="15"/>
    <w:link w:val="40"/>
    <w:semiHidden/>
    <w:unhideWhenUsed/>
    <w:qFormat/>
    <w:uiPriority w:val="99"/>
    <w:rPr>
      <w:b/>
      <w:bCs/>
    </w:rPr>
  </w:style>
  <w:style w:type="table" w:styleId="31">
    <w:name w:val="Table Grid"/>
    <w:basedOn w:val="30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3">
    <w:name w:val="Strong"/>
    <w:basedOn w:val="32"/>
    <w:qFormat/>
    <w:uiPriority w:val="22"/>
    <w:rPr>
      <w:b/>
      <w:bCs/>
    </w:rPr>
  </w:style>
  <w:style w:type="character" w:styleId="34">
    <w:name w:val="Hyperlink"/>
    <w:basedOn w:val="32"/>
    <w:qFormat/>
    <w:uiPriority w:val="99"/>
    <w:rPr>
      <w:color w:val="0000FF"/>
      <w:u w:val="single"/>
    </w:rPr>
  </w:style>
  <w:style w:type="character" w:styleId="35">
    <w:name w:val="annotation reference"/>
    <w:basedOn w:val="32"/>
    <w:semiHidden/>
    <w:unhideWhenUsed/>
    <w:qFormat/>
    <w:uiPriority w:val="99"/>
    <w:rPr>
      <w:sz w:val="16"/>
      <w:szCs w:val="16"/>
    </w:rPr>
  </w:style>
  <w:style w:type="character" w:customStyle="1" w:styleId="36">
    <w:name w:val="标题 4 Char"/>
    <w:basedOn w:val="32"/>
    <w:link w:val="7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7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8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39">
    <w:name w:val="批注文字 Char"/>
    <w:basedOn w:val="32"/>
    <w:link w:val="15"/>
    <w:qFormat/>
    <w:uiPriority w:val="99"/>
    <w:rPr>
      <w:kern w:val="2"/>
    </w:rPr>
  </w:style>
  <w:style w:type="character" w:customStyle="1" w:styleId="40">
    <w:name w:val="批注主题 Char"/>
    <w:basedOn w:val="39"/>
    <w:link w:val="29"/>
    <w:semiHidden/>
    <w:qFormat/>
    <w:uiPriority w:val="99"/>
    <w:rPr>
      <w:b/>
      <w:bCs/>
      <w:kern w:val="2"/>
    </w:rPr>
  </w:style>
  <w:style w:type="character" w:customStyle="1" w:styleId="41">
    <w:name w:val="批注框文本 Char"/>
    <w:basedOn w:val="32"/>
    <w:link w:val="21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2">
    <w:name w:val="文档结构图 Char"/>
    <w:basedOn w:val="32"/>
    <w:link w:val="14"/>
    <w:semiHidden/>
    <w:qFormat/>
    <w:uiPriority w:val="99"/>
    <w:rPr>
      <w:rFonts w:ascii="宋体" w:hAnsi="Arial" w:cs="Arial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header" Target="header3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2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4103"/>
    <customShpInfo spid="_x0000_s410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7</Pages>
  <Words>1355</Words>
  <Characters>1743</Characters>
  <Lines>3</Lines>
  <Paragraphs>1</Paragraphs>
  <TotalTime>2</TotalTime>
  <ScaleCrop>false</ScaleCrop>
  <LinksUpToDate>false</LinksUpToDate>
  <CharactersWithSpaces>1861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2001-02-09T04:16:00Z</cp:lastPrinted>
  <dcterms:modified xsi:type="dcterms:W3CDTF">2023-12-04T03:57:36Z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79FB90D9E4F84AA0A85035B6517B1947</vt:lpwstr>
  </property>
</Properties>
</file>