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pPr w:leftFromText="180" w:rightFromText="180" w:vertAnchor="page" w:horzAnchor="page" w:tblpX="1893" w:tblpY="1539"/>
        <w:tblOverlap w:val="never"/>
        <w:tblW w:w="84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lang w:eastAsia="zh-CN"/>
              </w:rPr>
              <w:t>MS-003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</w:rPr>
              <w:t>.20W008</w:t>
            </w:r>
          </w:p>
        </w:tc>
        <w:tc>
          <w:tcPr>
            <w:tcW w:w="2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sz w:val="52"/>
                <w:szCs w:val="52"/>
                <w:lang w:val="en-US" w:eastAsia="zh-CN"/>
              </w:rPr>
              <w:t>MS-003</w:t>
            </w:r>
            <w:bookmarkStart w:id="118" w:name="_GoBack"/>
            <w:bookmarkEnd w:id="11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00" w:lineRule="exact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tcBorders>
              <w:tl2br w:val="nil"/>
              <w:tr2bl w:val="nil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 w:val="0"/>
                <w:sz w:val="52"/>
                <w:szCs w:val="52"/>
                <w:lang w:val="en-US" w:eastAsia="zh-CN"/>
              </w:rPr>
              <w:t>UPS验证方案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雷俊勇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李明？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李明？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l2br w:val="nil"/>
              <w:tr2bl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2022.03.</w:t>
            </w:r>
            <w:r>
              <w:rPr>
                <w:rFonts w:hint="eastAsia" w:ascii="Times New Roman" w:hAnsi="Times New Roman" w:cs="Times New Roman"/>
                <w:bCs/>
                <w:color w:val="FF0000"/>
                <w:sz w:val="28"/>
                <w:szCs w:val="21"/>
                <w:lang w:val="en-US" w:eastAsia="zh-CN"/>
              </w:rPr>
              <w:t>xx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  <w:r>
              <w:rPr>
                <w:rFonts w:ascii="Times New Roman" w:hAnsi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asciiTheme="minorAscii" w:hAnsiTheme="minorAscii" w:cstheme="minorBidi"/>
          <w:b/>
          <w:bCs/>
          <w:sz w:val="28"/>
        </w:rPr>
      </w:pPr>
      <w:r>
        <w:rPr>
          <w:rFonts w:hint="eastAsia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asciiTheme="minorAscii" w:hAnsiTheme="minorAscii" w:cstheme="minorBidi"/>
          <w:i w:val="0"/>
          <w:iCs/>
          <w:sz w:val="28"/>
        </w:rPr>
        <w:t>项目</w:t>
      </w:r>
      <w:r>
        <w:rPr>
          <w:rFonts w:hint="eastAsia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_Toc323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_Toc323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_Toc15481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_Toc15481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_Toc17778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_Toc17778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_Toc29288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_Toc29288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_Toc27858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_Toc27858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_Toc12002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_Toc30010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_Toc23369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_Toc23369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_Toc8645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_Toc8645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_Toc14476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_Toc30968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_Toc30968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_Toc7966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_Toc7966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_Toc21852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_Toc21852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_Toc23491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_Toc23491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_Toc9111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输出电压测试</w:t>
          </w:r>
          <w:r>
            <w:tab/>
          </w:r>
          <w:r>
            <w:fldChar w:fldCharType="begin"/>
          </w:r>
          <w:r>
            <w:instrText xml:space="preserve"> PAGEREF _Toc9111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_Toc30644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电池容量测试</w:t>
          </w:r>
          <w:r>
            <w:tab/>
          </w:r>
          <w:r>
            <w:fldChar w:fldCharType="begin"/>
          </w:r>
          <w:r>
            <w:instrText xml:space="preserve"> PAGEREF _Toc30644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_Toc640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充电时间测试</w:t>
          </w:r>
          <w:r>
            <w:tab/>
          </w:r>
          <w:r>
            <w:fldChar w:fldCharType="begin"/>
          </w:r>
          <w:r>
            <w:instrText xml:space="preserve"> PAGEREF _Toc640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_Toc28388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验证结果与结论</w:t>
          </w:r>
          <w:r>
            <w:tab/>
          </w:r>
          <w:r>
            <w:fldChar w:fldCharType="begin"/>
          </w:r>
          <w:r>
            <w:instrText xml:space="preserve"> PAGEREF _Toc28388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Ascii" w:hAnsiTheme="minorAscii" w:cstheme="minorBidi"/>
            </w:rPr>
            <w:fldChar w:fldCharType="begin"/>
          </w:r>
          <w:r>
            <w:rPr>
              <w:rFonts w:asciiTheme="minorAscii" w:hAnsiTheme="minorAscii" w:cstheme="minorBidi"/>
            </w:rPr>
            <w:instrText xml:space="preserve"> HYPERLINK \l _Toc23762 </w:instrText>
          </w:r>
          <w:r>
            <w:rPr>
              <w:rFonts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_Toc23762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Ascii" w:hAnsiTheme="minorAscii" w:cstheme="minorBidi"/>
            </w:rPr>
            <w:fldChar w:fldCharType="end"/>
          </w:r>
        </w:p>
        <w:p>
          <w:pPr>
            <w:sectPr>
              <w:headerReference r:id="rId11" w:type="default"/>
              <w:footerReference r:id="rId12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5494"/>
      <w:bookmarkStart w:id="1" w:name="_Toc323"/>
      <w:bookmarkStart w:id="2" w:name="_Toc30924"/>
      <w:bookmarkStart w:id="3" w:name="_Toc1217"/>
      <w:bookmarkStart w:id="4" w:name="_Toc24226"/>
      <w:bookmarkStart w:id="5" w:name="_Toc8498"/>
      <w:bookmarkStart w:id="6" w:name="_Toc10239"/>
      <w:bookmarkStart w:id="7" w:name="_Toc185"/>
      <w:bookmarkStart w:id="8" w:name="_Toc27104"/>
      <w:bookmarkStart w:id="9" w:name="_Toc1335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0" w:name="_Toc32383"/>
      <w:bookmarkStart w:id="11" w:name="_Toc8853"/>
      <w:bookmarkStart w:id="12" w:name="_Toc23347"/>
      <w:bookmarkStart w:id="13" w:name="_Toc9537"/>
      <w:bookmarkStart w:id="14" w:name="_Toc1912"/>
      <w:bookmarkStart w:id="15" w:name="_Toc7898"/>
      <w:bookmarkStart w:id="16" w:name="_Toc14588"/>
      <w:bookmarkStart w:id="17" w:name="_Toc15481"/>
      <w:bookmarkStart w:id="18" w:name="_Toc26376"/>
      <w:bookmarkStart w:id="19" w:name="_Toc2413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UPS是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执行台车和导航台车的供电设备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主要用于保障系统电源稳定，本测试方案主要测试UPS电源（华为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UPS2000-A-1KTTS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）在空载和负载情况下，输出电压稳定性，验证其是否满足各种情况下供电要求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0" w:name="_Toc12483"/>
      <w:bookmarkStart w:id="21" w:name="_Toc27142"/>
      <w:bookmarkStart w:id="22" w:name="_Toc21514"/>
      <w:bookmarkStart w:id="23" w:name="_Toc17151"/>
      <w:bookmarkStart w:id="24" w:name="_Toc8655"/>
      <w:bookmarkStart w:id="25" w:name="_Toc26745"/>
      <w:bookmarkStart w:id="26" w:name="_Toc32447"/>
      <w:bookmarkStart w:id="27" w:name="_Toc21184"/>
      <w:bookmarkStart w:id="28" w:name="_Toc1777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Start w:id="29" w:name="_Toc4427"/>
      <w:bookmarkEnd w:id="29"/>
      <w:bookmarkStart w:id="30" w:name="_Toc3290"/>
      <w:bookmarkEnd w:id="30"/>
      <w:bookmarkStart w:id="31" w:name="_Toc32161"/>
      <w:bookmarkEnd w:id="31"/>
      <w:bookmarkStart w:id="32" w:name="_Toc22393"/>
      <w:bookmarkEnd w:id="32"/>
      <w:bookmarkStart w:id="33" w:name="_Toc18639"/>
      <w:bookmarkEnd w:id="33"/>
      <w:bookmarkStart w:id="34" w:name="_Toc11648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UPS电源（华为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UPS2000-A-1KTTS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35" w:name="_Toc20781"/>
      <w:bookmarkStart w:id="36" w:name="_Toc25521"/>
      <w:bookmarkStart w:id="37" w:name="_Toc32484"/>
      <w:bookmarkStart w:id="38" w:name="_Toc13067"/>
      <w:bookmarkStart w:id="39" w:name="_Toc29288"/>
      <w:bookmarkStart w:id="40" w:name="_Toc24382"/>
      <w:bookmarkStart w:id="41" w:name="_Toc18489"/>
      <w:bookmarkStart w:id="42" w:name="_Toc24793"/>
      <w:bookmarkStart w:id="43" w:name="_Toc17305"/>
      <w:bookmarkStart w:id="44" w:name="_Toc1145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5" w:name="_Toc278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GB 9706.1-20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《医用电气设备 第1部分：安全通用要求》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GB 7260.1-2008《不间断电源设备.第1-1部分:操作人员触及区使用的UPS的一般规定和安全要求》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 xml:space="preserve"> 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 xml:space="preserve"> 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highlight w:val="none"/>
          <w:lang w:val="en-US" w:eastAsia="zh-CN"/>
        </w:rPr>
        <w:t xml:space="preserve"> 风险评估和控制记录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《UPS2000-A-(1kVA-3kVA) 用户手册》</w:t>
      </w:r>
    </w:p>
    <w:p>
      <w:pPr>
        <w:adjustRightInd/>
        <w:snapToGrid/>
        <w:spacing w:beforeLines="-2147483648" w:afterLines="-2147483648"/>
        <w:rPr>
          <w:rFonts w:hint="eastAsia" w:asciiTheme="minorAscii" w:hAnsiTheme="minorAscii" w:cstheme="minorBidi"/>
          <w:sz w:val="28"/>
          <w:lang w:eastAsia="zh-CN"/>
        </w:rPr>
      </w:pPr>
      <w:r>
        <w:rPr>
          <w:rFonts w:hint="eastAsia" w:asciiTheme="minorAscii" w:hAnsiTheme="minorAscii" w:cstheme="minorBidi"/>
          <w:sz w:val="28"/>
          <w:lang w:eastAsia="zh-CN"/>
        </w:rPr>
        <w:br w:type="page"/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46" w:name="_Toc12002"/>
      <w:bookmarkStart w:id="47" w:name="_Toc9934"/>
      <w:bookmarkStart w:id="48" w:name="_Toc24202"/>
      <w:bookmarkStart w:id="49" w:name="_Toc1748"/>
      <w:bookmarkStart w:id="50" w:name="_Toc1867"/>
      <w:bookmarkStart w:id="51" w:name="_Toc13206"/>
      <w:bookmarkStart w:id="52" w:name="_Toc9422"/>
      <w:bookmarkStart w:id="53" w:name="_Toc4826"/>
      <w:bookmarkStart w:id="54" w:name="_Toc47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46"/>
    </w:p>
    <w:bookmarkEnd w:id="44"/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55" w:name="_Toc3001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514"/>
        <w:gridCol w:w="3405"/>
        <w:gridCol w:w="17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设备编号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设备名称</w:t>
            </w:r>
          </w:p>
        </w:tc>
        <w:tc>
          <w:tcPr>
            <w:tcW w:w="199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UPS</w:t>
            </w:r>
          </w:p>
        </w:tc>
        <w:tc>
          <w:tcPr>
            <w:tcW w:w="199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lang w:val="en-US" w:eastAsia="zh-CN"/>
              </w:rPr>
              <w:t>华为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UPS2000-A-1KTTS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56" w:name="_Toc23369"/>
      <w:bookmarkStart w:id="57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56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导航台车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highlight w:val="none"/>
                <w:lang w:val="en-US" w:eastAsia="zh-CN"/>
              </w:rPr>
              <w:t>执行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highlight w:val="none"/>
                <w:lang w:val="en-US" w:eastAsia="zh-CN"/>
              </w:rPr>
              <w:t>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  <w:szCs w:val="24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ST/ZG-002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数字万用表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VC97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ST/ZG-004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电子秒表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4"/>
                <w:szCs w:val="24"/>
              </w:rPr>
              <w:t>K0302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widowControl w:val="0"/>
        <w:adjustRightInd w:val="0"/>
        <w:snapToGrid w:val="0"/>
        <w:spacing w:line="360" w:lineRule="auto"/>
        <w:ind w:firstLine="480" w:firstLineChars="200"/>
        <w:jc w:val="both"/>
        <w:rPr>
          <w:rFonts w:hint="default" w:eastAsia="宋体" w:cs="宋体" w:asciiTheme="minorAscii" w:hAnsiTheme="minorAscii"/>
          <w:color w:val="A5A5A5" w:themeColor="accent3"/>
          <w:kern w:val="2"/>
          <w:sz w:val="24"/>
          <w:szCs w:val="22"/>
          <w:lang w:val="en-US" w:eastAsia="zh-CN" w:bidi="ar-SA"/>
          <w14:textFill>
            <w14:solidFill>
              <w14:schemeClr w14:val="accent3"/>
            </w14:solidFill>
          </w14:textFill>
        </w:rPr>
      </w:pPr>
    </w:p>
    <w:bookmarkEnd w:id="57"/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58" w:name="_Toc8645"/>
      <w:bookmarkStart w:id="59" w:name="_Toc16357"/>
      <w:bookmarkStart w:id="60" w:name="_Toc4741"/>
      <w:bookmarkStart w:id="61" w:name="_Toc27278"/>
      <w:bookmarkStart w:id="62" w:name="_Toc29383"/>
      <w:bookmarkStart w:id="63" w:name="_Toc2111"/>
      <w:bookmarkStart w:id="64" w:name="_Toc26207"/>
      <w:bookmarkStart w:id="65" w:name="_Toc3324"/>
      <w:bookmarkStart w:id="66" w:name="_Toc1504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58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4"/>
          <w:szCs w:val="22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4"/>
          <w:szCs w:val="22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7" w:name="_Toc1447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2"/>
          <w:lang w:val="en-US" w:eastAsia="zh-CN"/>
        </w:rPr>
        <w:t>2022.0</w:t>
      </w:r>
      <w:r>
        <w:rPr>
          <w:rFonts w:hint="eastAsia" w:ascii="Times New Roman" w:hAnsi="Times New Roman" w:cs="Times New Roman"/>
          <w:color w:val="auto"/>
          <w:sz w:val="24"/>
          <w:szCs w:val="22"/>
          <w:lang w:val="en-US" w:eastAsia="zh-CN"/>
        </w:rPr>
        <w:t>9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8" w:name="_Toc30968"/>
      <w:bookmarkStart w:id="69" w:name="_Toc11888"/>
      <w:bookmarkStart w:id="70" w:name="_Toc29300"/>
      <w:bookmarkStart w:id="71" w:name="_Toc9414"/>
      <w:bookmarkStart w:id="72" w:name="_Toc15326"/>
      <w:bookmarkStart w:id="73" w:name="_Toc602"/>
      <w:bookmarkStart w:id="74" w:name="_Toc9164"/>
      <w:bookmarkStart w:id="75" w:name="_Toc32107"/>
      <w:bookmarkStart w:id="76" w:name="_Toc1754"/>
      <w:bookmarkStart w:id="77" w:name="_Toc3145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68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温度要求：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室温</w:t>
      </w:r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湿度要求：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≤75%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796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78"/>
    </w:p>
    <w:tbl>
      <w:tblPr>
        <w:tblStyle w:val="3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750"/>
        <w:gridCol w:w="2221"/>
        <w:gridCol w:w="3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序号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岗位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2250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</w:rPr>
              <w:t>1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电子工程师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1人</w:t>
            </w:r>
          </w:p>
        </w:tc>
        <w:tc>
          <w:tcPr>
            <w:tcW w:w="2250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试验中的设备操作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4"/>
              </w:rPr>
              <w:t>2</w:t>
            </w:r>
          </w:p>
        </w:tc>
        <w:tc>
          <w:tcPr>
            <w:tcW w:w="102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测试工程师</w:t>
            </w:r>
          </w:p>
        </w:tc>
        <w:tc>
          <w:tcPr>
            <w:tcW w:w="1303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2人</w:t>
            </w:r>
          </w:p>
        </w:tc>
        <w:tc>
          <w:tcPr>
            <w:tcW w:w="2250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Theme="minorAscii" w:hAnsiTheme="minorAscii" w:cstheme="minorBidi"/>
                <w:color w:val="auto"/>
                <w:sz w:val="24"/>
                <w:szCs w:val="22"/>
                <w:lang w:val="en-US" w:eastAsia="zh-CN"/>
              </w:rPr>
              <w:t>试验中的设备操作；进行数据记录、统计；编制报告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79" w:name="_Toc29201"/>
      <w:bookmarkStart w:id="80" w:name="_Toc2006"/>
      <w:bookmarkStart w:id="81" w:name="_Toc28523"/>
      <w:bookmarkStart w:id="82" w:name="_Toc9029"/>
      <w:bookmarkStart w:id="83" w:name="_Toc1400"/>
      <w:bookmarkStart w:id="84" w:name="_Toc15702"/>
      <w:bookmarkStart w:id="85" w:name="_Toc21852"/>
      <w:bookmarkStart w:id="86" w:name="_Toc19959"/>
      <w:bookmarkStart w:id="87" w:name="_Toc21694"/>
      <w:bookmarkStart w:id="88" w:name="_Toc446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验证结果应符合以下指标：</w:t>
      </w:r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UPS输出电压、容量、充电时间需要达到标称规格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adjustRightInd/>
        <w:snapToGrid/>
        <w:spacing w:beforeLines="-2147483648" w:afterLines="-2147483648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输出电压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偏差小于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1%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numPr>
          <w:ilvl w:val="0"/>
          <w:numId w:val="5"/>
        </w:numPr>
        <w:adjustRightInd/>
        <w:snapToGrid/>
        <w:spacing w:beforeLines="-2147483648" w:afterLines="-2147483648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电池容量测试：最大功率工作5min之后电池容量不低于25%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；</w:t>
      </w:r>
    </w:p>
    <w:p>
      <w:pPr>
        <w:numPr>
          <w:ilvl w:val="0"/>
          <w:numId w:val="5"/>
        </w:numPr>
        <w:adjustRightInd/>
        <w:snapToGrid/>
        <w:spacing w:beforeLines="-2147483648" w:afterLines="-2147483648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充电时间测试：UPS从25%电量充电至90%电量花费时间不超过5h。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89" w:name="_Toc25226"/>
      <w:bookmarkStart w:id="90" w:name="_Toc3422"/>
      <w:bookmarkStart w:id="91" w:name="_Toc26435"/>
      <w:bookmarkStart w:id="92" w:name="_Toc3397"/>
      <w:bookmarkStart w:id="93" w:name="_Toc6986"/>
      <w:bookmarkStart w:id="94" w:name="_Toc19333"/>
      <w:bookmarkStart w:id="95" w:name="_Toc19363"/>
      <w:bookmarkStart w:id="96" w:name="_Toc5244"/>
      <w:bookmarkStart w:id="97" w:name="_Toc28304"/>
      <w:bookmarkStart w:id="98" w:name="_Toc23491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98"/>
    </w:p>
    <w:p>
      <w:pPr>
        <w:keepNext/>
        <w:keepLines/>
        <w:widowControl w:val="0"/>
        <w:numPr>
          <w:ilvl w:val="1"/>
          <w:numId w:val="4"/>
        </w:numPr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9" w:name="_Toc5269"/>
      <w:bookmarkStart w:id="100" w:name="_Toc28915"/>
      <w:bookmarkStart w:id="101" w:name="_Toc911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输出电压测试</w:t>
      </w:r>
      <w:bookmarkEnd w:id="99"/>
      <w:bookmarkEnd w:id="100"/>
      <w:bookmarkEnd w:id="10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1.1市电模式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接入220V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市电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①开启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执行台车和导航台车全部功能（打开工作软件、机械臂、双目相机处于运行状态），让UPS处于系统最大功率工作状态，测试UPS输出电压；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②手动关闭系统主要功能，保持系统最小功率（关闭工作站、关闭机械臂、关闭双目相机）工作状态，测试UPS输出电压值。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③重复5次，记录两种状态下UPS电压值，并计算出与理论220V电压输出的精度变化。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1.2电池模式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①断开市电供电，重复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1.1市电模式下的步骤①、②、③；测试过程确保电池不出现缺电情况，如果缺电导致电压不足，需要进行充电后再完成后续测试。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bookmarkStart w:id="102" w:name="_Toc30469"/>
      <w:bookmarkStart w:id="103" w:name="_Toc12550"/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将数据填入到附件的记录表中。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根据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《UPS2000-A-(1kVA-3kVA) 用户手册》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vertAlign w:val="baseline"/>
          <w:lang w:val="en-US" w:eastAsia="zh-CN"/>
        </w:rPr>
        <w:t>在各种状态下，输出电压精度应不超过±1%。</w:t>
      </w:r>
    </w:p>
    <w:p>
      <w:pPr>
        <w:keepNext/>
        <w:keepLines/>
        <w:widowControl w:val="0"/>
        <w:numPr>
          <w:ilvl w:val="1"/>
          <w:numId w:val="4"/>
        </w:numPr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04" w:name="_Toc3064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电池容量测试</w:t>
      </w:r>
      <w:bookmarkEnd w:id="102"/>
      <w:bookmarkEnd w:id="103"/>
      <w:bookmarkEnd w:id="10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根据系统实际使用环境，UPS在充满电的情况下发生断电，UPS电源需要支持系统满负荷工作至少5分钟，所以制定以下测试容量测试步骤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对UPS电源充电，保证电池电量在90%以上(通过UPS LCD面板读取电量信息)；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在表4-1中选取最大负荷工作状态，然后断开电池外电，开始记录时间；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在系统工作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分钟后记录电池剩余电量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，若10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分钟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不低于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25%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则5分钟一定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不低于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25%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继续让系统工作，在UPS剩余电量小于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vertAlign w:val="baselin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5%时，记录系统工作时间；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重复以上步骤3次，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将数据填入到附件的记录表中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05" w:name="_Toc640"/>
      <w:bookmarkStart w:id="106" w:name="_Toc31834"/>
      <w:bookmarkStart w:id="107" w:name="_Toc3008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充电时间测试</w:t>
      </w:r>
      <w:bookmarkEnd w:id="105"/>
      <w:bookmarkEnd w:id="106"/>
      <w:bookmarkEnd w:id="10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《UPS2000-A-(1kVA-3kVA) 用户手册》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，电池应在5小时内充电至90%以上，制定充电时间测试步骤如下：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关闭电源开关，打开系统对UPS进行工作放电，当UPS电量小于25%时停止放电；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打开电源开关，让UPS处于市电模式（期间系统处于4.2.1中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全部功能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工作状态）；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开始记录UPS充电时间，当UPS电量大于90%时，停止记时，计算UPS充电所用时间。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vertAlign w:val="baseline"/>
          <w:lang w:val="en-US" w:eastAsia="zh-CN"/>
        </w:rPr>
        <w:t>重复以上步骤3次，将数据填入到附件的记录表中。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08" w:name="_Toc2838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08"/>
    </w:p>
    <w:p>
      <w:pPr>
        <w:bidi w:val="0"/>
        <w:adjustRightInd/>
        <w:snapToGrid/>
        <w:spacing w:beforeLines="-2147483648" w:afterLines="-2147483648" w:line="360" w:lineRule="auto"/>
        <w:ind w:firstLine="480" w:firstLineChars="200"/>
        <w:rPr>
          <w:rFonts w:hint="default" w:ascii="Times New Roman" w:hAnsi="Times New Roman" w:cs="Times New Roman"/>
          <w:sz w:val="24"/>
          <w:szCs w:val="22"/>
          <w:lang w:eastAsia="zh-CN"/>
        </w:rPr>
      </w:pPr>
      <w:r>
        <w:rPr>
          <w:rFonts w:hint="default" w:ascii="Times New Roman" w:hAnsi="Times New Roman" w:cs="Times New Roman"/>
          <w:sz w:val="24"/>
          <w:szCs w:val="22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09" w:name="_Toc17710"/>
      <w:bookmarkStart w:id="110" w:name="_Toc30334"/>
      <w:bookmarkStart w:id="111" w:name="_Toc23762"/>
      <w:bookmarkStart w:id="112" w:name="_Toc539"/>
      <w:bookmarkStart w:id="113" w:name="_Toc18352"/>
      <w:bookmarkStart w:id="114" w:name="_Toc15449"/>
      <w:bookmarkStart w:id="115" w:name="_Toc639"/>
      <w:bookmarkStart w:id="116" w:name="_Toc9099"/>
      <w:bookmarkStart w:id="117" w:name="_Toc1524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>
      <w:pPr>
        <w:pStyle w:val="2"/>
        <w:spacing w:line="360" w:lineRule="auto"/>
        <w:ind w:left="0" w:leftChars="0" w:firstLine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UPS验证方案_附件记录表_样表.xlsx》</w:t>
      </w:r>
    </w:p>
    <w:p>
      <w:pPr>
        <w:pStyle w:val="2"/>
        <w:rPr>
          <w:rFonts w:hint="eastAsia"/>
          <w:lang w:val="en-US" w:eastAsia="zh-CN"/>
        </w:rPr>
      </w:pPr>
    </w:p>
    <w:sectPr>
      <w:headerReference r:id="rId15" w:type="first"/>
      <w:headerReference r:id="rId13" w:type="default"/>
      <w:footerReference r:id="rId16" w:type="default"/>
      <w:headerReference r:id="rId14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snapToGrid w:val="0"/>
      <w:spacing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snapToGrid w:val="0"/>
                            <w:spacing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snapToGrid w:val="0"/>
                      <w:spacing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</w:t>
    </w:r>
    <w:r>
      <w:rPr>
        <w:rFonts w:hint="eastAsia" w:ascii="Times New Roman" w:hAnsi="Times New Roman" w:cs="Times New Roman"/>
      </w:rPr>
      <w:t xml:space="preserve">     </w:t>
    </w:r>
    <w:r>
      <w:rPr>
        <w:rFonts w:ascii="Times New Roman" w:hAnsi="Times New Roman" w:cs="Times New Roma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napToGrid w:val="0"/>
      <w:spacing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</w:t>
    </w:r>
    <w:r>
      <w:rPr>
        <w:rFonts w:hint="eastAsia" w:ascii="Times New Roman" w:hAnsi="Times New Roman" w:cs="Times New Roman"/>
      </w:rPr>
      <w:t xml:space="preserve">     </w:t>
    </w:r>
    <w:r>
      <w:rPr>
        <w:rFonts w:ascii="Times New Roman" w:hAnsi="Times New Roman" w:cs="Times New Roman"/>
      </w:rPr>
      <w:t>杭州三坛医疗科技有限公司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6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5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D723EE90"/>
    <w:multiLevelType w:val="singleLevel"/>
    <w:tmpl w:val="D723EE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2D55323"/>
    <w:multiLevelType w:val="singleLevel"/>
    <w:tmpl w:val="42D5532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FB02943"/>
    <w:multiLevelType w:val="singleLevel"/>
    <w:tmpl w:val="5FB0294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776FB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58327D"/>
    <w:rsid w:val="017E34AF"/>
    <w:rsid w:val="018C0EF4"/>
    <w:rsid w:val="018E45FF"/>
    <w:rsid w:val="01970624"/>
    <w:rsid w:val="019E0FFE"/>
    <w:rsid w:val="01AF7CCB"/>
    <w:rsid w:val="01FC1444"/>
    <w:rsid w:val="022D4EC9"/>
    <w:rsid w:val="02A164BA"/>
    <w:rsid w:val="03326971"/>
    <w:rsid w:val="03411B63"/>
    <w:rsid w:val="03DC63F8"/>
    <w:rsid w:val="046805E1"/>
    <w:rsid w:val="04B675CD"/>
    <w:rsid w:val="04F53600"/>
    <w:rsid w:val="05072E07"/>
    <w:rsid w:val="06856B77"/>
    <w:rsid w:val="068D3B56"/>
    <w:rsid w:val="069F7A46"/>
    <w:rsid w:val="070D0E34"/>
    <w:rsid w:val="07280C98"/>
    <w:rsid w:val="073771F0"/>
    <w:rsid w:val="07493DE4"/>
    <w:rsid w:val="07780493"/>
    <w:rsid w:val="08842EBA"/>
    <w:rsid w:val="08E47B5E"/>
    <w:rsid w:val="08EF6AC2"/>
    <w:rsid w:val="09394466"/>
    <w:rsid w:val="09457FC5"/>
    <w:rsid w:val="0A7644EA"/>
    <w:rsid w:val="0ACC49A2"/>
    <w:rsid w:val="0B58111A"/>
    <w:rsid w:val="0B983BE2"/>
    <w:rsid w:val="0BCB1EE5"/>
    <w:rsid w:val="0BF437A7"/>
    <w:rsid w:val="0C0D1AF7"/>
    <w:rsid w:val="0CBA5453"/>
    <w:rsid w:val="0DA87805"/>
    <w:rsid w:val="0DB514EA"/>
    <w:rsid w:val="0DE80C89"/>
    <w:rsid w:val="0E011186"/>
    <w:rsid w:val="0E7C438D"/>
    <w:rsid w:val="0F1B763C"/>
    <w:rsid w:val="0F7F4595"/>
    <w:rsid w:val="0FBB1C1F"/>
    <w:rsid w:val="10B44CF5"/>
    <w:rsid w:val="10EE1A5D"/>
    <w:rsid w:val="11376768"/>
    <w:rsid w:val="114A21BB"/>
    <w:rsid w:val="119E02CE"/>
    <w:rsid w:val="11E03575"/>
    <w:rsid w:val="120D2650"/>
    <w:rsid w:val="12261940"/>
    <w:rsid w:val="12C10A21"/>
    <w:rsid w:val="12C95C8D"/>
    <w:rsid w:val="130B6BB6"/>
    <w:rsid w:val="1317000A"/>
    <w:rsid w:val="133D25E9"/>
    <w:rsid w:val="1359264A"/>
    <w:rsid w:val="136C2042"/>
    <w:rsid w:val="14202994"/>
    <w:rsid w:val="14C764EB"/>
    <w:rsid w:val="158C144B"/>
    <w:rsid w:val="15C75DDC"/>
    <w:rsid w:val="161C11D8"/>
    <w:rsid w:val="163836F0"/>
    <w:rsid w:val="16444FD4"/>
    <w:rsid w:val="164D7597"/>
    <w:rsid w:val="16581CEF"/>
    <w:rsid w:val="16967981"/>
    <w:rsid w:val="16E85B07"/>
    <w:rsid w:val="16E865DC"/>
    <w:rsid w:val="16F119F4"/>
    <w:rsid w:val="17127ADB"/>
    <w:rsid w:val="17291566"/>
    <w:rsid w:val="178C3CF3"/>
    <w:rsid w:val="17F87FDD"/>
    <w:rsid w:val="18094ACF"/>
    <w:rsid w:val="18174DC6"/>
    <w:rsid w:val="184648B1"/>
    <w:rsid w:val="187C4637"/>
    <w:rsid w:val="18D7065C"/>
    <w:rsid w:val="18DC3BBC"/>
    <w:rsid w:val="19CE2367"/>
    <w:rsid w:val="1A0327AB"/>
    <w:rsid w:val="1A2100BD"/>
    <w:rsid w:val="1A2D6541"/>
    <w:rsid w:val="1A865307"/>
    <w:rsid w:val="1ADA4CB5"/>
    <w:rsid w:val="1C2F4FCD"/>
    <w:rsid w:val="1CEF14DD"/>
    <w:rsid w:val="1CFC3931"/>
    <w:rsid w:val="1D0A244B"/>
    <w:rsid w:val="1D7C4EF1"/>
    <w:rsid w:val="1DA92872"/>
    <w:rsid w:val="1DF87754"/>
    <w:rsid w:val="1E004AF3"/>
    <w:rsid w:val="1E853548"/>
    <w:rsid w:val="1EC33220"/>
    <w:rsid w:val="1EDE4B3C"/>
    <w:rsid w:val="1EFA772E"/>
    <w:rsid w:val="1EFB6986"/>
    <w:rsid w:val="1F1D3483"/>
    <w:rsid w:val="1F973EF0"/>
    <w:rsid w:val="1FBB56A4"/>
    <w:rsid w:val="1FFE2CE6"/>
    <w:rsid w:val="20297200"/>
    <w:rsid w:val="202979F0"/>
    <w:rsid w:val="20390790"/>
    <w:rsid w:val="203A3A82"/>
    <w:rsid w:val="20651D4E"/>
    <w:rsid w:val="208E7074"/>
    <w:rsid w:val="20F33FA4"/>
    <w:rsid w:val="21040AFA"/>
    <w:rsid w:val="210A410B"/>
    <w:rsid w:val="21222C3B"/>
    <w:rsid w:val="217C0CE0"/>
    <w:rsid w:val="218E0D5B"/>
    <w:rsid w:val="21A00E68"/>
    <w:rsid w:val="21A70C18"/>
    <w:rsid w:val="22156154"/>
    <w:rsid w:val="224401B8"/>
    <w:rsid w:val="2254338D"/>
    <w:rsid w:val="2275519A"/>
    <w:rsid w:val="229E744E"/>
    <w:rsid w:val="22E529C8"/>
    <w:rsid w:val="23651C7F"/>
    <w:rsid w:val="237C2FBE"/>
    <w:rsid w:val="23D20AC4"/>
    <w:rsid w:val="23E45852"/>
    <w:rsid w:val="24033151"/>
    <w:rsid w:val="2439695D"/>
    <w:rsid w:val="2479115B"/>
    <w:rsid w:val="24C11BF0"/>
    <w:rsid w:val="24D11E65"/>
    <w:rsid w:val="254D0751"/>
    <w:rsid w:val="25877463"/>
    <w:rsid w:val="258B6CC2"/>
    <w:rsid w:val="26084E8D"/>
    <w:rsid w:val="26612F1B"/>
    <w:rsid w:val="266E08AF"/>
    <w:rsid w:val="26987149"/>
    <w:rsid w:val="26DE1DBB"/>
    <w:rsid w:val="279D4487"/>
    <w:rsid w:val="28AC098C"/>
    <w:rsid w:val="28D21BC4"/>
    <w:rsid w:val="299B109B"/>
    <w:rsid w:val="29DF2214"/>
    <w:rsid w:val="29EB7226"/>
    <w:rsid w:val="2A5A5432"/>
    <w:rsid w:val="2AC356B4"/>
    <w:rsid w:val="2AF947D7"/>
    <w:rsid w:val="2B3661D7"/>
    <w:rsid w:val="2B6125A4"/>
    <w:rsid w:val="2B911481"/>
    <w:rsid w:val="2BC14FC6"/>
    <w:rsid w:val="2BD1335F"/>
    <w:rsid w:val="2BD27BD7"/>
    <w:rsid w:val="2BDD6A1A"/>
    <w:rsid w:val="2C1E2157"/>
    <w:rsid w:val="2C700036"/>
    <w:rsid w:val="2CC739FB"/>
    <w:rsid w:val="2D085487"/>
    <w:rsid w:val="2D0C127D"/>
    <w:rsid w:val="2D1648F9"/>
    <w:rsid w:val="2D406487"/>
    <w:rsid w:val="2D60294A"/>
    <w:rsid w:val="2D7C4D9C"/>
    <w:rsid w:val="2DF50AC5"/>
    <w:rsid w:val="2E0D0FB1"/>
    <w:rsid w:val="2E243F7A"/>
    <w:rsid w:val="2E8746A6"/>
    <w:rsid w:val="2E960B5C"/>
    <w:rsid w:val="2EE96C29"/>
    <w:rsid w:val="2F0C115E"/>
    <w:rsid w:val="2F106D50"/>
    <w:rsid w:val="2F191606"/>
    <w:rsid w:val="2F4502D8"/>
    <w:rsid w:val="2FA904FF"/>
    <w:rsid w:val="2FB56A31"/>
    <w:rsid w:val="2FD15513"/>
    <w:rsid w:val="305C074B"/>
    <w:rsid w:val="307E453F"/>
    <w:rsid w:val="30EF4239"/>
    <w:rsid w:val="314E118D"/>
    <w:rsid w:val="31A81525"/>
    <w:rsid w:val="31C14B20"/>
    <w:rsid w:val="31E30FC7"/>
    <w:rsid w:val="32072423"/>
    <w:rsid w:val="323A54FD"/>
    <w:rsid w:val="326E42CA"/>
    <w:rsid w:val="32734764"/>
    <w:rsid w:val="336B0502"/>
    <w:rsid w:val="33F375C2"/>
    <w:rsid w:val="34B45B20"/>
    <w:rsid w:val="34C71E28"/>
    <w:rsid w:val="3564646B"/>
    <w:rsid w:val="35A42B41"/>
    <w:rsid w:val="360932A6"/>
    <w:rsid w:val="363477DB"/>
    <w:rsid w:val="365E2606"/>
    <w:rsid w:val="36903CB5"/>
    <w:rsid w:val="369F1445"/>
    <w:rsid w:val="372A4FAA"/>
    <w:rsid w:val="37633642"/>
    <w:rsid w:val="37636AF0"/>
    <w:rsid w:val="380864E4"/>
    <w:rsid w:val="381C32F1"/>
    <w:rsid w:val="383E565E"/>
    <w:rsid w:val="384F6C9A"/>
    <w:rsid w:val="38561184"/>
    <w:rsid w:val="387F4B11"/>
    <w:rsid w:val="38BB5C4A"/>
    <w:rsid w:val="38DA36FB"/>
    <w:rsid w:val="394B5A2C"/>
    <w:rsid w:val="39732C58"/>
    <w:rsid w:val="397A4CD3"/>
    <w:rsid w:val="3A007E71"/>
    <w:rsid w:val="3A5464D2"/>
    <w:rsid w:val="3A6F017D"/>
    <w:rsid w:val="3AAE7C71"/>
    <w:rsid w:val="3AE211A3"/>
    <w:rsid w:val="3B6A4F96"/>
    <w:rsid w:val="3B766081"/>
    <w:rsid w:val="3C02227B"/>
    <w:rsid w:val="3C2E7C24"/>
    <w:rsid w:val="3C547DBA"/>
    <w:rsid w:val="3CC46B9D"/>
    <w:rsid w:val="3D0221DE"/>
    <w:rsid w:val="3D3324C3"/>
    <w:rsid w:val="3D3B4000"/>
    <w:rsid w:val="3D3E5C30"/>
    <w:rsid w:val="3D9F55FF"/>
    <w:rsid w:val="3E02477B"/>
    <w:rsid w:val="3E154624"/>
    <w:rsid w:val="3E5E45A8"/>
    <w:rsid w:val="3EBE4AC0"/>
    <w:rsid w:val="3EE537EC"/>
    <w:rsid w:val="3F071D45"/>
    <w:rsid w:val="3F0D6C18"/>
    <w:rsid w:val="3F815693"/>
    <w:rsid w:val="3F9B06D8"/>
    <w:rsid w:val="3FA5590C"/>
    <w:rsid w:val="40322BB3"/>
    <w:rsid w:val="40DE464C"/>
    <w:rsid w:val="41344E77"/>
    <w:rsid w:val="41D67077"/>
    <w:rsid w:val="42CF42AC"/>
    <w:rsid w:val="431A3F41"/>
    <w:rsid w:val="43A50E3F"/>
    <w:rsid w:val="43F876AC"/>
    <w:rsid w:val="44190B9C"/>
    <w:rsid w:val="441F188B"/>
    <w:rsid w:val="443E64B8"/>
    <w:rsid w:val="45006471"/>
    <w:rsid w:val="450A0677"/>
    <w:rsid w:val="45170D3A"/>
    <w:rsid w:val="451A30BF"/>
    <w:rsid w:val="45AE03B5"/>
    <w:rsid w:val="45CC1B11"/>
    <w:rsid w:val="46591DBE"/>
    <w:rsid w:val="468622AE"/>
    <w:rsid w:val="468B6F34"/>
    <w:rsid w:val="469A2B41"/>
    <w:rsid w:val="46AB4292"/>
    <w:rsid w:val="46AF2908"/>
    <w:rsid w:val="46BF0E7A"/>
    <w:rsid w:val="46E207A3"/>
    <w:rsid w:val="474D04FA"/>
    <w:rsid w:val="47BD374F"/>
    <w:rsid w:val="47DA6734"/>
    <w:rsid w:val="47DE73A4"/>
    <w:rsid w:val="47E05224"/>
    <w:rsid w:val="480C5160"/>
    <w:rsid w:val="48B639A5"/>
    <w:rsid w:val="48D622EC"/>
    <w:rsid w:val="490E14C8"/>
    <w:rsid w:val="49A826F0"/>
    <w:rsid w:val="4A8543F7"/>
    <w:rsid w:val="4ABE24F7"/>
    <w:rsid w:val="4AD53E5C"/>
    <w:rsid w:val="4ADC3F64"/>
    <w:rsid w:val="4B193A89"/>
    <w:rsid w:val="4B4F4775"/>
    <w:rsid w:val="4B6D6660"/>
    <w:rsid w:val="4B74404D"/>
    <w:rsid w:val="4C7B1F56"/>
    <w:rsid w:val="4C815570"/>
    <w:rsid w:val="4D161837"/>
    <w:rsid w:val="4D7D2794"/>
    <w:rsid w:val="4D7E04A0"/>
    <w:rsid w:val="4DB97153"/>
    <w:rsid w:val="4E632C9E"/>
    <w:rsid w:val="4F9D532C"/>
    <w:rsid w:val="4FD3620B"/>
    <w:rsid w:val="505C6252"/>
    <w:rsid w:val="505E6517"/>
    <w:rsid w:val="505F6CF7"/>
    <w:rsid w:val="50877468"/>
    <w:rsid w:val="509E79D2"/>
    <w:rsid w:val="50CA1657"/>
    <w:rsid w:val="51114EEF"/>
    <w:rsid w:val="519A34FA"/>
    <w:rsid w:val="51A40068"/>
    <w:rsid w:val="520728C3"/>
    <w:rsid w:val="52DA2792"/>
    <w:rsid w:val="52E61552"/>
    <w:rsid w:val="53780F5F"/>
    <w:rsid w:val="53C00E8A"/>
    <w:rsid w:val="53D634F2"/>
    <w:rsid w:val="541033C5"/>
    <w:rsid w:val="544B1CA0"/>
    <w:rsid w:val="54587E05"/>
    <w:rsid w:val="54A44D84"/>
    <w:rsid w:val="54F44C64"/>
    <w:rsid w:val="552D5FC7"/>
    <w:rsid w:val="55937B7D"/>
    <w:rsid w:val="55C3107C"/>
    <w:rsid w:val="55DC7FDC"/>
    <w:rsid w:val="5609140E"/>
    <w:rsid w:val="56872F86"/>
    <w:rsid w:val="5690091A"/>
    <w:rsid w:val="576A2D00"/>
    <w:rsid w:val="57E6742D"/>
    <w:rsid w:val="582763B9"/>
    <w:rsid w:val="58883F2F"/>
    <w:rsid w:val="59073A15"/>
    <w:rsid w:val="59737A34"/>
    <w:rsid w:val="5991247C"/>
    <w:rsid w:val="59B4591A"/>
    <w:rsid w:val="59D468DE"/>
    <w:rsid w:val="59EF7A22"/>
    <w:rsid w:val="5A4B619A"/>
    <w:rsid w:val="5A643D9E"/>
    <w:rsid w:val="5AEB64B7"/>
    <w:rsid w:val="5AF644F2"/>
    <w:rsid w:val="5B52040A"/>
    <w:rsid w:val="5B657888"/>
    <w:rsid w:val="5BCC118C"/>
    <w:rsid w:val="5BDE39BF"/>
    <w:rsid w:val="5D5B198B"/>
    <w:rsid w:val="5D9A1BC1"/>
    <w:rsid w:val="5E3A39C3"/>
    <w:rsid w:val="5EBF5418"/>
    <w:rsid w:val="5EC141AC"/>
    <w:rsid w:val="5ECF2A28"/>
    <w:rsid w:val="5F3D2036"/>
    <w:rsid w:val="5F6168D1"/>
    <w:rsid w:val="5F7679E3"/>
    <w:rsid w:val="5F7F76E0"/>
    <w:rsid w:val="5FA6729F"/>
    <w:rsid w:val="5FBC7439"/>
    <w:rsid w:val="60566E36"/>
    <w:rsid w:val="60AD2EFF"/>
    <w:rsid w:val="61524012"/>
    <w:rsid w:val="61E024F1"/>
    <w:rsid w:val="6225524C"/>
    <w:rsid w:val="62370CCE"/>
    <w:rsid w:val="627834B1"/>
    <w:rsid w:val="62AD5739"/>
    <w:rsid w:val="63262EEB"/>
    <w:rsid w:val="63E44A84"/>
    <w:rsid w:val="643C1282"/>
    <w:rsid w:val="64994927"/>
    <w:rsid w:val="651728C8"/>
    <w:rsid w:val="6589499B"/>
    <w:rsid w:val="65DB13DF"/>
    <w:rsid w:val="66210D5A"/>
    <w:rsid w:val="66336C28"/>
    <w:rsid w:val="6636079B"/>
    <w:rsid w:val="663C7D18"/>
    <w:rsid w:val="66486604"/>
    <w:rsid w:val="66644AC0"/>
    <w:rsid w:val="66EF5EF1"/>
    <w:rsid w:val="67E37932"/>
    <w:rsid w:val="684412BF"/>
    <w:rsid w:val="68B1799F"/>
    <w:rsid w:val="68CB4B42"/>
    <w:rsid w:val="68D8137E"/>
    <w:rsid w:val="68FB5B55"/>
    <w:rsid w:val="69890277"/>
    <w:rsid w:val="69A407FA"/>
    <w:rsid w:val="69A72AA1"/>
    <w:rsid w:val="69B8155B"/>
    <w:rsid w:val="69BE0007"/>
    <w:rsid w:val="69D161DD"/>
    <w:rsid w:val="6A550426"/>
    <w:rsid w:val="6A7A30FE"/>
    <w:rsid w:val="6AF27491"/>
    <w:rsid w:val="6B0067F8"/>
    <w:rsid w:val="6B112BF1"/>
    <w:rsid w:val="6BC76DB6"/>
    <w:rsid w:val="6BD1524C"/>
    <w:rsid w:val="6C5D1917"/>
    <w:rsid w:val="6C5F0283"/>
    <w:rsid w:val="6C724E43"/>
    <w:rsid w:val="6C7A6E4B"/>
    <w:rsid w:val="6C8D31BC"/>
    <w:rsid w:val="6CAC039F"/>
    <w:rsid w:val="6CDA52BB"/>
    <w:rsid w:val="6D004647"/>
    <w:rsid w:val="6D1278E4"/>
    <w:rsid w:val="6D51004E"/>
    <w:rsid w:val="6D8919B0"/>
    <w:rsid w:val="6DB6633D"/>
    <w:rsid w:val="6E8E74BF"/>
    <w:rsid w:val="6ECF78C3"/>
    <w:rsid w:val="6ED271E5"/>
    <w:rsid w:val="6F2479BB"/>
    <w:rsid w:val="6F305F17"/>
    <w:rsid w:val="6F72611D"/>
    <w:rsid w:val="6F884281"/>
    <w:rsid w:val="6FFB17B9"/>
    <w:rsid w:val="701B7484"/>
    <w:rsid w:val="70695FCF"/>
    <w:rsid w:val="7140607A"/>
    <w:rsid w:val="71891EB9"/>
    <w:rsid w:val="71A66178"/>
    <w:rsid w:val="71B15CB9"/>
    <w:rsid w:val="71F31A9C"/>
    <w:rsid w:val="723E7EC1"/>
    <w:rsid w:val="72D40070"/>
    <w:rsid w:val="732207BE"/>
    <w:rsid w:val="73A77581"/>
    <w:rsid w:val="73E62DF0"/>
    <w:rsid w:val="747C5C15"/>
    <w:rsid w:val="74907350"/>
    <w:rsid w:val="75157FF9"/>
    <w:rsid w:val="75452C71"/>
    <w:rsid w:val="76E0667F"/>
    <w:rsid w:val="77067D67"/>
    <w:rsid w:val="77957652"/>
    <w:rsid w:val="77C06F6A"/>
    <w:rsid w:val="77C918F7"/>
    <w:rsid w:val="781E2DDF"/>
    <w:rsid w:val="78423ABB"/>
    <w:rsid w:val="7871522C"/>
    <w:rsid w:val="78882890"/>
    <w:rsid w:val="78B56432"/>
    <w:rsid w:val="78C528D9"/>
    <w:rsid w:val="78FD5394"/>
    <w:rsid w:val="7917227C"/>
    <w:rsid w:val="7A0A0D85"/>
    <w:rsid w:val="7A4D1663"/>
    <w:rsid w:val="7AA4324D"/>
    <w:rsid w:val="7AA63CB3"/>
    <w:rsid w:val="7AF95287"/>
    <w:rsid w:val="7B63258C"/>
    <w:rsid w:val="7BD94D14"/>
    <w:rsid w:val="7C2C1662"/>
    <w:rsid w:val="7C3E777C"/>
    <w:rsid w:val="7C8F30E4"/>
    <w:rsid w:val="7CB54C32"/>
    <w:rsid w:val="7CEE7BAC"/>
    <w:rsid w:val="7D021012"/>
    <w:rsid w:val="7DEC38C1"/>
    <w:rsid w:val="7E443C37"/>
    <w:rsid w:val="7ECE0309"/>
    <w:rsid w:val="7F6D25F9"/>
    <w:rsid w:val="7F8405CC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5.xml"/><Relationship Id="rId15" Type="http://schemas.openxmlformats.org/officeDocument/2006/relationships/header" Target="header7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9"/>
    <customShpInfo spid="_x0000_s4097"/>
    <customShpInfo spid="_x0000_s1026" textRotate="1"/>
    <customShpInfo spid="_x0000_s4106"/>
    <customShpInfo spid="_x0000_s4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7</Pages>
  <Words>1523</Words>
  <Characters>1915</Characters>
  <Lines>3</Lines>
  <Paragraphs>1</Paragraphs>
  <TotalTime>28</TotalTime>
  <ScaleCrop>false</ScaleCrop>
  <LinksUpToDate>false</LinksUpToDate>
  <CharactersWithSpaces>2034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2021-10-13T02:52:00Z</cp:lastPrinted>
  <dcterms:modified xsi:type="dcterms:W3CDTF">2023-12-04T03:57:45Z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