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APTUS: arquitetura de IA para equipes e propostas técnicas</w:t>
      </w:r>
    </w:p>
    <w:p>
      <w:pPr>
        <w:spacing w:after="40"/>
      </w:pPr>
      <w:r>
        <w:rPr>
          <w:b/>
          <w:sz w:val="18"/>
        </w:rPr>
        <w:t xml:space="preserve">Desafio: </w:t>
      </w:r>
      <w:r>
        <w:rPr>
          <w:sz w:val="18"/>
        </w:rPr>
        <w:t>D03 | EloGroup | Gestão inteligente de currículos | Case Nexora</w:t>
      </w:r>
    </w:p>
    <w:p>
      <w:pPr>
        <w:spacing w:after="40"/>
      </w:pPr>
      <w:r>
        <w:rPr>
          <w:b/>
          <w:sz w:val="18"/>
        </w:rPr>
        <w:t xml:space="preserve">Equipe: </w:t>
      </w:r>
      <w:r>
        <w:rPr>
          <w:sz w:val="18"/>
        </w:rPr>
        <w:t>Quatro e meio</w:t>
      </w:r>
    </w:p>
    <w:p>
      <w:pPr>
        <w:spacing w:after="40"/>
      </w:pPr>
      <w:r>
        <w:rPr>
          <w:b/>
          <w:sz w:val="18"/>
        </w:rPr>
        <w:t xml:space="preserve">Curso de todos os integrantes: </w:t>
      </w:r>
      <w:r>
        <w:rPr>
          <w:sz w:val="18"/>
        </w:rPr>
        <w:t>Engenharia de Computação</w:t>
      </w:r>
    </w:p>
    <w:p>
      <w:pPr>
        <w:spacing w:after="40"/>
      </w:pPr>
      <w:r>
        <w:rPr>
          <w:b/>
          <w:sz w:val="18"/>
        </w:rPr>
        <w:t xml:space="preserve">Integrantes: </w:t>
      </w:r>
      <w:r>
        <w:rPr>
          <w:sz w:val="18"/>
        </w:rPr>
        <w:t>Iago Soares Santana — 5º período (líder)</w:t>
        <w:br/>
        <w:t>Gabriel Galvão dos Reis Bandeira — 5º período</w:t>
        <w:br/>
        <w:t>Bernardo Vieira Rocha — 5º período</w:t>
        <w:br/>
        <w:t>Lucas Francischetti Alvarenga — 6º período</w:t>
        <w:br/>
        <w:t>Arthur de Oliveira Torres — 5º período</w:t>
      </w:r>
    </w:p>
    <w:p>
      <w:pPr>
        <w:spacing w:after="40"/>
      </w:pPr>
      <w:r>
        <w:rPr>
          <w:b/>
          <w:sz w:val="18"/>
        </w:rPr>
        <w:t xml:space="preserve">Mentores: </w:t>
      </w:r>
      <w:r>
        <w:rPr>
          <w:sz w:val="18"/>
        </w:rPr>
        <w:t>Daniel Hasan Dalip e Poliana Aparecida Corrêa de Oliveira</w:t>
      </w:r>
    </w:p>
    <w:p>
      <w:pPr>
        <w:spacing w:after="40"/>
      </w:pPr>
      <w:r>
        <w:rPr>
          <w:b/>
          <w:sz w:val="18"/>
        </w:rPr>
        <w:t xml:space="preserve">Vídeo: </w:t>
      </w:r>
      <w:hyperlink r:id="rIdAptusPitch">
        <w:r>
          <w:rPr>
            <w:sz w:val="18"/>
            <w:color w:val="233C73"/>
          </w:rPr>
          <w:t>Vídeo do pitch (versão 4)</w:t>
        </w:r>
      </w:hyperlink>
    </w:p>
    <w:p>
      <w:pPr>
        <w:pStyle w:val="Heading1"/>
      </w:pPr>
      <w:r>
        <w:t>Síntese</w:t>
      </w:r>
    </w:p>
    <w:p>
      <w:pPr>
        <w:jc w:val="both"/>
      </w:pPr>
      <w:r>
        <w:t xml:space="preserve">O Aptus propõe à Nexora um pipeline de IA que encontra profissionais aderentes, apresenta experiências comprovadas e mantém a base atualizada. </w:t>
      </w:r>
      <w:r>
        <w:rPr>
          <w:b/>
        </w:rPr>
        <w:t>A contribuição da equipe está na qualidade da implementação proposta: integrar interpretação semântica, regras verificáveis e otimização, preservando a origem de cada decisão.</w:t>
      </w:r>
      <w:r>
        <w:t xml:space="preserve"> RAG contextualiza o LLM, Jev classifica aderência, Java calcula pontos e OR-Tools compõe equipes sob restrições. O Recovery incorpora provas aceitas e recalcula a proposta. Pendências críticas bloqueiam a confirmação e seguem para revisão. A arquitetura prevê permissões por papel e finalidade antes da busca, parsers isolados, modelos sem privilégios administrativos, auditoria e contingência manual. Dados reais e serviços externos dependem de finalidade, base legal, contrato e avaliação da transferência internacional aplicável. A implantação começa com uma área e mede qualidade, esforço, custo e adesão. O cenário utiliza dados sintéticos; desempenho e viabilidade econômica serão verificados no piloto.</w:t>
      </w:r>
    </w:p>
    <w:p>
      <w:pPr>
        <w:pStyle w:val="Heading1"/>
      </w:pPr>
      <w:r>
        <w:t>1  Problema e objetivo</w:t>
      </w:r>
    </w:p>
    <w:p>
      <w:pPr>
        <w:jc w:val="both"/>
      </w:pPr>
      <w:r>
        <w:t>A Nexora reúne mais de 1.000 profissionais. O briefing estima 40 disputas anuais e 15–25 horas conjuntas de gestores por disputa: 600–1.000 horas/ano, a validar. Currículos dispersos, desatualização e provas ausentes ocultam competências e prejudicam a composição da equipe. O objetivo é recuperar informações, comprovar sua aderência ao edital e apresentar a equipe disponível, mantendo o acervo atualizado [1].</w:t>
      </w:r>
    </w:p>
    <w:p>
      <w:pPr>
        <w:pStyle w:val="Heading1"/>
      </w:pPr>
      <w:r>
        <w:t>2  Solução proposta</w:t>
      </w:r>
    </w:p>
    <w:p>
      <w:pPr>
        <w:jc w:val="both"/>
      </w:pPr>
      <w:r>
        <w:t>Docling extrai documentos e Qwen estrutura fatos; PostgreSQL guarda fontes e versões. O RAG combina recuperação textual, vetorial e estruturada para contextualizar a análise. Jev avalia correspondências e ambiguidades; Licitações aprova critérios, e Java calcula elegibilidade e pontos. OR-Tools CP-SAT compõe equipes conforme regras e agenda confirmada pelo PMO. Busca SQL preserva candidatos conhecidos. Só provas verificadas pelo RH e aceitas no edital geram pontos após recálculo. O dossiê conserva fatos e citações, com aprovação humana. Para sustentar a adesão, eventos de projetos, campanhas e indicações geram atualizações para confirmação; RH mantém o cadastro [2].</w:t>
      </w:r>
    </w:p>
    <w:p>
      <w:pPr>
        <w:pStyle w:val="Heading1"/>
      </w:pPr>
      <w:r>
        <w:t>3  Fundamentação e viabilidade</w:t>
      </w:r>
    </w:p>
    <w:p>
      <w:pPr>
        <w:jc w:val="both"/>
      </w:pPr>
      <w:r>
        <w:t>A implementação proposta usa núcleo Java/Spring e PostgreSQL, modelos locais leves, filas limitadas, reuso de verificações válidas e processamento incremental. O custo total inclui implantação amortizada, hardware, APIs, manutenção e horas de todas as áreas. Metas de qualidade, latência e revisão serão pactuadas antes do piloto. A expansão exige benefício líquido positivo, testes de segurança e avaliação jurídica [2,4].</w:t>
      </w:r>
    </w:p>
    <w:p>
      <w:pPr>
        <w:pStyle w:val="Heading1"/>
      </w:pPr>
      <w:r>
        <w:t>4  Resultados obtidos e esperados</w:t>
      </w:r>
    </w:p>
    <w:p>
      <w:pPr>
        <w:jc w:val="both"/>
      </w:pPr>
      <w:r/>
      <w:r>
        <w:rPr>
          <w:b/>
        </w:rPr>
        <w:t>Obtidos:</w:t>
      </w:r>
      <w:r>
        <w:t xml:space="preserve"> Arquitetura e cenário sintético: 30→31 pontos por composição conjunta; 31→33→35 com dois projetos distintos comprovados (+2 cada), após aceite e recálculo. Mock planejado; integrações, desempenho e ganhos reais ainda não foram validados.</w:t>
      </w:r>
    </w:p>
    <w:p>
      <w:pPr>
        <w:jc w:val="both"/>
      </w:pPr>
      <w:r/>
      <w:r>
        <w:rPr>
          <w:b/>
        </w:rPr>
        <w:t>Esperados:</w:t>
      </w:r>
      <w:r>
        <w:t xml:space="preserve"> Hipótese: 40 disputas/ano × 20 h/disputa, redução líquida de 40% e R$ 160/h liberariam 320 h/ano, equivalentes a R$ 51.200 de capacidade, antes das despesas adicionais. Premissas ilustrativas; economia de caixa não garantida.</w:t>
      </w:r>
    </w:p>
    <w:p>
      <w:r>
        <w:br w:type="page"/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35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TUS_Canvas_Premiu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5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5"/>
        </w:rPr>
        <w:t>Figura 1. Arquitetura proposta e implantação gradual. Elaboração da equipe.</w:t>
      </w:r>
    </w:p>
    <w:p>
      <w:pPr>
        <w:pStyle w:val="Heading1"/>
      </w:pPr>
      <w:r>
        <w:t>5  Afinidade empresa–CEFET-MG e perspectivas de cooperação</w:t>
      </w:r>
    </w:p>
    <w:p>
      <w:pPr>
        <w:jc w:val="both"/>
      </w:pPr>
      <w:r>
        <w:t>A EloGroup atua na combinação de tecnologia, dados e transformação de processos, enquanto o CEFET-MG reúne formação em engenharia de software, inteligência artificial, bancos de dados e pesquisa operacional. Essa afinidade permite desenvolver e avaliar o Aptus como pesquisa aplicada a uma necessidade empresarial concreta. A cooperação proposta começaria com uma área, 50–100 profissionais e 3–5 editais históricos, inicialmente com dados sintéticos e, posteriormente, dados autorizados em modo sombra. A empresa definiria critérios de negócio e disponibilizaria revisores; estudantes e docentes implementariam os módulos, testes e experimentos. O piloto compararia a arquitetura com busca manual e configurações simplificadas, medindo erros, cobertura documental, tempo, custo total, adesão e fila de revisão. RH verificaria evidências, PMO confirmaria disponibilidade e Licitações revisaria critérios e dossiês. A ampliação dependeria de resultados previamente pactuados, avaliação jurídica e testes de segurança. Contratos, finalidade, retenção, direitos dos titulares e eventual transferência internacional seriam tratados antes do uso de dados reais. A continuidade e a propriedade intelectual seguiriam os instrumentos institucionais, com participação da CIE/DEDC. Assim, ensino e pesquisa poderiam produzir uma implementação tecnicamente consistente e economicamente justificável [3,4].</w:t>
      </w:r>
    </w:p>
    <w:p>
      <w:pPr>
        <w:pStyle w:val="Heading1"/>
      </w:pPr>
      <w:r>
        <w:t>6  Fontes e ferramentas</w:t>
      </w:r>
    </w:p>
    <w:p>
      <w:pPr>
        <w:spacing w:after="60"/>
      </w:pPr>
      <w:r>
        <w:rPr>
          <w:sz w:val="17"/>
        </w:rPr>
        <w:t>[1] EloGroup. Case B Nexora, pp. 14–19. Material do desafio HackatOhm 2026.</w:t>
      </w:r>
    </w:p>
    <w:p>
      <w:pPr>
        <w:spacing w:after="60"/>
      </w:pPr>
      <w:hyperlink r:id="rId11">
        <w:r>
          <w:rPr>
            <w:color w:val="233C73"/>
            <w:sz w:val="17"/>
          </w:rPr>
          <w:t>[2] Lewis et al. (2020), RAG</w:t>
        </w:r>
      </w:hyperlink>
      <w:r>
        <w:rPr>
          <w:sz w:val="17"/>
        </w:rPr>
        <w:t xml:space="preserve">; </w:t>
      </w:r>
      <w:hyperlink r:id="rId12">
        <w:r>
          <w:rPr>
            <w:color w:val="233C73"/>
            <w:sz w:val="17"/>
          </w:rPr>
          <w:t>TypeSafe, Jev</w:t>
        </w:r>
      </w:hyperlink>
      <w:r>
        <w:rPr>
          <w:sz w:val="17"/>
        </w:rPr>
        <w:t xml:space="preserve">; </w:t>
      </w:r>
      <w:hyperlink r:id="rId13">
        <w:r>
          <w:rPr>
            <w:color w:val="233C73"/>
            <w:sz w:val="17"/>
          </w:rPr>
          <w:t>Google, OR-Tools CP-SAT</w:t>
        </w:r>
      </w:hyperlink>
      <w:r>
        <w:rPr>
          <w:sz w:val="17"/>
        </w:rPr>
        <w:t>. Documentação técnica consultada em 27/10/2026.</w:t>
      </w:r>
    </w:p>
    <w:p>
      <w:pPr>
        <w:spacing w:after="60"/>
      </w:pPr>
      <w:hyperlink r:id="rId14">
        <w:r>
          <w:rPr>
            <w:color w:val="233C73"/>
            <w:sz w:val="17"/>
          </w:rPr>
          <w:t>[3] EloGroup, atuação institucional</w:t>
        </w:r>
      </w:hyperlink>
      <w:r>
        <w:rPr>
          <w:sz w:val="17"/>
        </w:rPr>
        <w:t xml:space="preserve">; </w:t>
      </w:r>
      <w:hyperlink r:id="rId15">
        <w:r>
          <w:rPr>
            <w:color w:val="233C73"/>
            <w:sz w:val="17"/>
          </w:rPr>
          <w:t>CEFET-MG, Engenharia de Computação</w:t>
        </w:r>
      </w:hyperlink>
      <w:r>
        <w:rPr>
          <w:sz w:val="17"/>
        </w:rPr>
        <w:t xml:space="preserve">; </w:t>
      </w:r>
      <w:hyperlink r:id="rId16">
        <w:r>
          <w:rPr>
            <w:color w:val="233C73"/>
            <w:sz w:val="17"/>
          </w:rPr>
          <w:t>orientações do HackatOhm</w:t>
        </w:r>
      </w:hyperlink>
      <w:r>
        <w:rPr>
          <w:sz w:val="17"/>
        </w:rPr>
        <w:t>.</w:t>
      </w:r>
    </w:p>
    <w:p>
      <w:pPr>
        <w:spacing w:after="60"/>
      </w:pPr>
      <w:hyperlink r:id="rId17">
        <w:r>
          <w:rPr>
            <w:color w:val="233C73"/>
            <w:sz w:val="17"/>
          </w:rPr>
          <w:t>[4] LGPD, Lei 13.709/2018</w:t>
        </w:r>
      </w:hyperlink>
      <w:r>
        <w:rPr>
          <w:sz w:val="17"/>
        </w:rPr>
        <w:t xml:space="preserve">; </w:t>
      </w:r>
      <w:hyperlink r:id="rId18">
        <w:r>
          <w:rPr>
            <w:color w:val="233C73"/>
            <w:sz w:val="17"/>
          </w:rPr>
          <w:t>ANPD, Resolução 19/2024</w:t>
        </w:r>
      </w:hyperlink>
      <w:r>
        <w:rPr>
          <w:sz w:val="17"/>
        </w:rPr>
        <w:t>. Requisitos aplicáveis ao tratamento e à transferência internacional de dados.</w:t>
      </w:r>
    </w:p>
    <w:p>
      <w:r>
        <w:rPr>
          <w:sz w:val="17"/>
        </w:rPr>
        <w:t>Ferramentas de análise e diagramação: Python. Conteúdo revisado sob responsabilidade da equipe.</w:t>
      </w:r>
    </w:p>
    <w:sectPr w:rsidR="00FC693F" w:rsidRPr="0006063C" w:rsidSect="00034616">
      <w:footerReference w:type="default" r:id="rId9"/>
      <w:pgSz w:w="11906" w:h="16838"/>
      <w:pgMar w:top="964" w:right="1134" w:bottom="935" w:left="1134" w:header="340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16B"/>
        <w:sz w:val="16"/>
      </w:rPr>
      <w:t xml:space="preserve">APTUS | HackatOhm 2026 | D03 |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80" w:line="251" w:lineRule="auto"/>
    </w:pPr>
    <w:rPr>
      <w:rFonts w:ascii="Arial" w:hAnsi="Arial"/>
      <w:color w:val="0F13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Arial" w:hAnsi="Arial"/>
      <w:b/>
      <w:bCs/>
      <w:color w:val="0F131A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0F131A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4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0F131A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0F131A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hyperlink" Target="https://ai.meta.com/research/publications/retrieval-augmented-generation-for-knowledge-intensive-nlp-tasks/" TargetMode="External"/><Relationship Id="rId12" Type="http://schemas.openxmlformats.org/officeDocument/2006/relationships/hyperlink" Target="https://docs.typesafe.ai/models" TargetMode="External"/><Relationship Id="rId13" Type="http://schemas.openxmlformats.org/officeDocument/2006/relationships/hyperlink" Target="https://developers.google.com/optimization/cp/cp_solver" TargetMode="External"/><Relationship Id="rId14" Type="http://schemas.openxmlformats.org/officeDocument/2006/relationships/hyperlink" Target="https://elogroup.com/sobre-a-elogroup/" TargetMode="External"/><Relationship Id="rId15" Type="http://schemas.openxmlformats.org/officeDocument/2006/relationships/hyperlink" Target="https://www.decom.cefetmg.br/" TargetMode="External"/><Relationship Id="rId16" Type="http://schemas.openxmlformats.org/officeDocument/2006/relationships/hyperlink" Target="https://www.eng-eletrica.bh.cefetmg.br/hackatohm/acompanhe/" TargetMode="External"/><Relationship Id="rId17" Type="http://schemas.openxmlformats.org/officeDocument/2006/relationships/hyperlink" Target="https://www2.camara.leg.br/legin/fed/lei/2018/lei-13709-14-agosto-2018-787077-normaatualizada-pl.html" TargetMode="External"/><Relationship Id="rId18" Type="http://schemas.openxmlformats.org/officeDocument/2006/relationships/hyperlink" Target="https://www.gov.br/anpd/pt-br/acesso-a-informacao/institucional/atos-normativos/regulamentacoes_anpd/resolucao-cd-anpd-no-19-de-23-de-agosto-de-2024" TargetMode="External"/><Relationship Id="rIdAptusPitch" Type="http://schemas.openxmlformats.org/officeDocument/2006/relationships/hyperlink" Target="https://github.com/santana-iago/hackatohm/releases/tag/pitch-v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APTUS: arquitetura de IA para equipes e propostas técnicas</dc:title>
  <dc:subject>Resumo de proposta com arquitetura, viabilidade, impacto, governança e cooperação</dc:subject>
  <dc:creator>Equipe Quatro e meio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