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i w:val="0"/>
          <w:color w:val="111E25"/>
          <w:sz w:val="32"/>
        </w:rPr>
        <w:t>Aptus para equipes e propostas técnicas comprováveis</w:t>
      </w:r>
    </w:p>
    <w:tbl>
      <w:tblPr>
        <w:tblW w:type="dxa" w:w="9638"/>
        <w:tblBorders>
          <w:top w:val="single" w:color="D9E0E6" w:sz="4"/>
          <w:left w:val="single" w:color="D9E0E6" w:sz="4"/>
          <w:bottom w:val="single" w:color="D9E0E6" w:sz="4"/>
          <w:right w:val="single" w:color="D9E0E6" w:sz="4"/>
          <w:insideH w:val="single" w:color="D9E0E6" w:sz="4"/>
          <w:insideV w:val="single" w:color="D9E0E6" w:sz="4"/>
        </w:tblBorders>
      </w:tblPr>
      <w:tblGrid>
        <w:gridCol w:w="2300"/>
        <w:gridCol w:w="7338"/>
      </w:tblGrid>
      <w:tr>
        <w:tc>
          <w:tcPr>
            <w:tcW w:type="dxa" w:w="2300"/>
            <w:shd w:fill="F2F4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11E25"/>
                <w:sz w:val="19"/>
                <w:szCs w:val="19"/>
              </w:rPr>
              <w:t xml:space="preserve">Desafio</w:t>
            </w:r>
          </w:p>
        </w:tc>
        <w:tc>
          <w:tcPr>
            <w:tcW w:type="dxa" w:w="733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40" w:lineRule="auto"/>
            </w:pPr>
            <w:r>
              <w:rPr>
                <w:rFonts w:ascii="Arial" w:hAnsi="Arial"/>
                <w:color w:val="1E2A33"/>
                <w:sz w:val="19"/>
              </w:rPr>
              <w:t>D03 — EloGroup — Gestão inteligente de currículos (case Nexora)</w:t>
            </w:r>
          </w:p>
        </w:tc>
      </w:tr>
      <w:tr>
        <w:tc>
          <w:tcPr>
            <w:tcW w:type="dxa" w:w="2300"/>
            <w:shd w:fill="F2F4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11E25"/>
                <w:sz w:val="19"/>
                <w:szCs w:val="19"/>
              </w:rPr>
              <w:t xml:space="preserve">Equipe</w:t>
            </w:r>
          </w:p>
        </w:tc>
        <w:tc>
          <w:tcPr>
            <w:tcW w:type="dxa" w:w="733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40" w:lineRule="auto"/>
            </w:pPr>
            <w:r>
              <w:rPr>
                <w:rFonts w:ascii="Arial" w:hAnsi="Arial"/>
                <w:color w:val="1E2A33"/>
                <w:sz w:val="19"/>
              </w:rPr>
              <w:t>Quatro e meio</w:t>
            </w:r>
          </w:p>
        </w:tc>
      </w:tr>
      <w:tr>
        <w:tc>
          <w:tcPr>
            <w:tcW w:type="dxa" w:w="2300"/>
            <w:shd w:fill="F2F4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11E25"/>
                <w:sz w:val="19"/>
                <w:szCs w:val="19"/>
              </w:rPr>
              <w:t xml:space="preserve">Integrantes</w:t>
            </w:r>
          </w:p>
        </w:tc>
        <w:tc>
          <w:tcPr>
            <w:tcW w:type="dxa" w:w="733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40" w:lineRule="auto"/>
            </w:pPr>
            <w:r>
              <w:rPr>
                <w:rFonts w:ascii="Arial" w:hAnsi="Arial"/>
                <w:color w:val="1E2A33"/>
                <w:sz w:val="19"/>
              </w:rPr>
              <w:t>Iago Soares Santana (Engenharia de Computação, 5º período, líder); Gabriel Galvão dos Reis Bandeira (Engenharia de Computação, 5º período); Bernardo Vieira Rocha (Engenharia de Computação, 5º período); Lucas Francischetti Alvarenga (Engenharia de Computação, 6º período); Arthur de Oliveira Torres (Engenharia de Computação, 5º período).</w:t>
            </w:r>
          </w:p>
        </w:tc>
      </w:tr>
      <w:tr>
        <w:tc>
          <w:tcPr>
            <w:tcW w:type="dxa" w:w="2300"/>
            <w:shd w:fill="F2F4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11E25"/>
                <w:sz w:val="19"/>
                <w:szCs w:val="19"/>
              </w:rPr>
              <w:t xml:space="preserve">Professores mentores</w:t>
            </w:r>
          </w:p>
        </w:tc>
        <w:tc>
          <w:tcPr>
            <w:tcW w:type="dxa" w:w="733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40" w:lineRule="auto"/>
            </w:pPr>
            <w:r>
              <w:rPr>
                <w:rFonts w:ascii="Arial" w:hAnsi="Arial"/>
                <w:color w:val="1E2A33"/>
                <w:sz w:val="19"/>
              </w:rPr>
              <w:t>Daniel Hasan Dalip e Poliana Aparecida Corrêa de Oliveira</w:t>
            </w:r>
          </w:p>
        </w:tc>
      </w:tr>
      <w:tr>
        <w:tc>
          <w:tcPr>
            <w:tcW w:type="dxa" w:w="2300"/>
            <w:shd w:fill="F2F4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11E25"/>
                <w:sz w:val="19"/>
                <w:szCs w:val="19"/>
              </w:rPr>
              <w:t xml:space="preserve">Vídeo pitch</w:t>
            </w:r>
          </w:p>
        </w:tc>
        <w:tc>
          <w:tcPr>
            <w:tcW w:type="dxa" w:w="733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40" w:lineRule="auto"/>
            </w:pPr>
            <w:hyperlink r:id="rIdAptusPitch">
              <w:r>
                <w:rPr>
                  <w:rFonts w:ascii="Arial" w:hAnsi="Arial"/>
                  <w:color w:val="233C73"/>
                  <w:sz w:val="19"/>
                </w:rPr>
                <w:t>Vídeo do pitch (versão 4)</w:t>
              </w:r>
            </w:hyperlink>
          </w:p>
        </w:tc>
      </w:tr>
      <w:tr>
        <w:tc>
          <w:tcPr>
            <w:tcW w:type="dxa" w:w="2300"/>
            <w:shd w:fill="F2F4F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111E25"/>
                <w:sz w:val="19"/>
                <w:szCs w:val="19"/>
              </w:rPr>
              <w:t xml:space="preserve">Materiais complementares</w:t>
            </w:r>
          </w:p>
        </w:tc>
        <w:tc>
          <w:tcPr>
            <w:tcW w:type="dxa" w:w="7338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 w:line="240" w:lineRule="auto"/>
            </w:pPr>
            <w:hyperlink r:id="rIdAptusRepo">
              <w:r>
                <w:rPr>
                  <w:rFonts w:ascii="Arial" w:hAnsi="Arial"/>
                  <w:color w:val="1E2A33"/>
                  <w:sz w:val="19"/>
                </w:rPr>
                <w:t>Código e documentação</w:t>
              </w:r>
            </w:hyperlink>
          </w:p>
        </w:tc>
      </w:tr>
    </w:tbl>
    <w:p>
      <w:pPr>
        <w:pStyle w:val="Heading1"/>
      </w:pPr>
      <w:r>
        <w:t xml:space="preserve">Síntese</w:t>
      </w:r>
    </w:p>
    <w:p>
      <w:pPr>
        <w:spacing w:after="80" w:line="259" w:lineRule="auto"/>
      </w:pPr>
      <w:r>
        <w:rPr>
          <w:rFonts w:ascii="Arial" w:hAnsi="Arial"/>
          <w:i w:val="0"/>
          <w:color w:val="1E2A33"/>
          <w:sz w:val="22"/>
        </w:rPr>
        <w:t>A Nexora perde tempo reunindo currículos dispersos e pode deixar competências relevantes fora das propostas. O Aptus organiza perfis e comprovantes, relaciona exigências do edital às evidências e recomenda equipes disponíveis. A contribuição da equipe combina composição conjunta, pontuação rastreável e Recovery: localizar documentos pendentes cujo aceite pode melhorar a proposta. Modelos de IA extraem e interpretam informações; regras aprovadas calculam pontos e um otimizador compara equipes. RH verifica provas, PMO confirma agenda e Licitações aprova critérios e dossiês. Projetos concluídos, campanhas e indicações geram tarefas de atualização. No cenário sintético conferido, a composição aumenta a nota de 30 para 31; duas provas aceitas permitem chegar a 35 após recálculo. Uma redução hipotética de 40% do esforço liberaria 320 horas anuais. O piloto verificará esse benefício e o custo total, com dados autorizados e acesso por finalidade.</w:t>
      </w:r>
    </w:p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111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resumo_revisad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1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60"/>
        <w:jc w:val="center"/>
      </w:pPr>
      <w:r>
        <w:rPr>
          <w:rFonts w:ascii="Arial" w:hAnsi="Arial"/>
          <w:i w:val="0"/>
          <w:color w:val="3A4651"/>
          <w:sz w:val="17"/>
        </w:rPr>
        <w:t>Figura 1 – Fluxo do Aptus e retorno das provas aceitas. Fonte: equipe (2026).</w:t>
      </w:r>
    </w:p>
    <w:p>
      <w:pPr>
        <w:pStyle w:val="Heading1"/>
      </w:pPr>
      <w:r>
        <w:t xml:space="preserve">1  Problema e objetivo</w:t>
      </w:r>
      <w:r>
        <w:rPr>
          <w:b w:val="false"/>
          <w:bCs w:val="false"/>
          <w:color w:val="698094"/>
          <w:sz w:val="16"/>
          <w:szCs w:val="16"/>
        </w:rPr>
        <w:t xml:space="preserve">   critério: aderência ao desafio</w:t>
      </w:r>
    </w:p>
    <w:p>
      <w:pPr>
        <w:spacing w:after="80" w:line="259" w:lineRule="auto"/>
      </w:pPr>
      <w:r>
        <w:rPr>
          <w:rFonts w:ascii="Arial" w:hAnsi="Arial"/>
          <w:i w:val="0"/>
          <w:color w:val="1E2A33"/>
          <w:sz w:val="22"/>
        </w:rPr>
        <w:t>Segundo o briefing, a Nexora reúne mais de mil profissionais e participa de cerca de 40 disputas anuais. Gestores gastam juntos 15–25 horas por disputa buscando e ajustando currículos: 600–1.000 horas/ano, a validar. Arquivos dispersos, formatos distintos e comprovantes ausentes ocultam qualificações. O objetivo é encontrar equipes aderentes, apresentar experiências comprovadas e manter a base atualizada [1].</w:t>
      </w:r>
    </w:p>
    <w:p>
      <w:pPr>
        <w:pStyle w:val="Heading1"/>
      </w:pPr>
      <w:r>
        <w:t xml:space="preserve">2  Solução proposta</w:t>
      </w:r>
      <w:r>
        <w:rPr>
          <w:b w:val="false"/>
          <w:bCs w:val="false"/>
          <w:color w:val="698094"/>
          <w:sz w:val="16"/>
          <w:szCs w:val="16"/>
        </w:rPr>
        <w:t xml:space="preserve">   critério: inovação e originalidade</w:t>
      </w:r>
    </w:p>
    <w:p>
      <w:pPr>
        <w:spacing w:after="80" w:line="259" w:lineRule="auto"/>
      </w:pPr>
      <w:r>
        <w:rPr>
          <w:rFonts w:ascii="Arial" w:hAnsi="Arial"/>
          <w:i w:val="0"/>
          <w:color w:val="1E2A33"/>
          <w:sz w:val="22"/>
        </w:rPr>
        <w:t>Currículos, projetos e comprovantes alimentam perfis padronizados (Figura 1). Docling e Qwen extraem informações; busca híbrida e Jev avaliam correspondências, sem conceder pontos. Licitações aprova regras; Java calcula elegibilidade e OR-Tools compara equipes com agenda confirmada pelo PMO. O diferencial combina escolha conjunta, cada ponto ligado à prova e Recovery, que prioriza lacunas pelo ganho potencial e prazo. Só evidência verificada pelo RH e aceita no edital altera a nota após recálculo. Ao concluir projetos, colaboradores recebem tarefas de confirmação; RH acompanha pendências. O dossiê adapta a apresentação ao edital sem acrescentar fatos [2].</w:t>
      </w:r>
    </w:p>
    <w:p>
      <w:pPr>
        <w:pStyle w:val="Heading1"/>
      </w:pPr>
      <w:r>
        <w:t xml:space="preserve">3  Fundamentação</w:t>
      </w:r>
      <w:r>
        <w:rPr>
          <w:b w:val="false"/>
          <w:bCs w:val="false"/>
          <w:color w:val="698094"/>
          <w:sz w:val="16"/>
          <w:szCs w:val="16"/>
        </w:rPr>
        <w:t xml:space="preserve">   critérios: viabilidade técnica; apresentação e fundamentação</w:t>
      </w:r>
    </w:p>
    <w:p>
      <w:pPr>
        <w:spacing w:after="80" w:line="259" w:lineRule="auto"/>
      </w:pPr>
      <w:r>
        <w:rPr>
          <w:rFonts w:ascii="Arial" w:hAnsi="Arial"/>
          <w:i w:val="0"/>
          <w:color w:val="1E2A33"/>
          <w:sz w:val="22"/>
        </w:rPr>
        <w:t>O núcleo modular Java/PostgreSQL concentra regras e dados; extração e inferência são processadas em lotes, com limites e reaproveitamento de verificações. Isso permite começar por uma área e ampliar após medir qualidade e custo total. Busca estruturada preserva candidatos conhecidos; modelos propõem interpretações, e pessoas aprovam. O piloto comparará o esforço com busca manual, incluindo revisão e manutenção [2].</w:t>
      </w:r>
    </w:p>
    <w:p>
      <w:pPr>
        <w:pStyle w:val="Heading1"/>
      </w:pPr>
      <w:r>
        <w:t xml:space="preserve">4  Resultados obtidos e esperados</w:t>
      </w:r>
      <w:r>
        <w:rPr>
          <w:b w:val="false"/>
          <w:bCs w:val="false"/>
          <w:color w:val="698094"/>
          <w:sz w:val="16"/>
          <w:szCs w:val="16"/>
        </w:rPr>
        <w:t xml:space="preserve">   critério: potencial de impacto</w:t>
      </w:r>
    </w:p>
    <w:p>
      <w:pPr>
        <w:pStyle w:val="Heading2"/>
      </w:pPr>
      <w:r>
        <w:t xml:space="preserve">Obtidos</w:t>
      </w:r>
    </w:p>
    <w:p>
      <w:pPr>
        <w:spacing w:after="80" w:line="259" w:lineRule="auto"/>
      </w:pPr>
      <w:r>
        <w:rPr>
          <w:rFonts w:ascii="Arial" w:hAnsi="Arial"/>
          <w:i w:val="0"/>
          <w:color w:val="1E2A33"/>
          <w:sz w:val="22"/>
        </w:rPr>
        <w:t>Definimos a arquitetura e conferimos um cenário sintético: a composição conjunta eleva 30 para 31 pontos; duas provas distintas aceitas permitem 33 e 35. São cálculos ilustrativos, sem validação operacional.</w:t>
      </w:r>
    </w:p>
    <w:p>
      <w:pPr>
        <w:pStyle w:val="Heading2"/>
      </w:pPr>
      <w:r>
        <w:t xml:space="preserve">Esperados</w:t>
      </w:r>
    </w:p>
    <w:p>
      <w:pPr>
        <w:spacing w:after="80" w:line="259" w:lineRule="auto"/>
      </w:pPr>
      <w:r>
        <w:rPr>
          <w:rFonts w:ascii="Arial" w:hAnsi="Arial"/>
          <w:i w:val="0"/>
          <w:color w:val="1E2A33"/>
          <w:sz w:val="22"/>
        </w:rPr>
        <w:t>Cenário ilustrativo: reduzir oito das vinte horas por disputa liberaria 320 horas/ano; a R$ 160/h, R$ 51.200 de capacidade. Redução de 40% e custo-hora são hipóteses; despesas adicionais serão descontadas.</w:t>
      </w:r>
    </w:p>
    <w:p>
      <w:pPr>
        <w:pStyle w:val="Heading1"/>
      </w:pPr>
      <w:r>
        <w:t xml:space="preserve">5  Afinidade entre a empresa e o CEFET-MG</w:t>
      </w:r>
      <w:r>
        <w:rPr>
          <w:b w:val="false"/>
          <w:bCs w:val="false"/>
          <w:color w:val="698094"/>
          <w:sz w:val="16"/>
          <w:szCs w:val="16"/>
        </w:rPr>
        <w:t xml:space="preserve">   art. 20, §6º  •  critério: apresentação e fundamentação</w:t>
      </w:r>
    </w:p>
    <w:p>
      <w:pPr>
        <w:spacing w:after="80" w:line="259" w:lineRule="auto"/>
      </w:pPr>
      <w:r>
        <w:rPr>
          <w:rFonts w:ascii="Arial" w:hAnsi="Arial"/>
          <w:i w:val="0"/>
          <w:color w:val="1E2A33"/>
          <w:sz w:val="22"/>
        </w:rPr>
        <w:t>A EloGroup integra gestão, análise de dados e tecnologia na transformação de negócios. Essa atuação aproxima-se da formação em Engenharia de Computação e do Laboratório de Sistemas Inteligentes do CEFET-MG, que desenvolve pesquisa em inteligência artificial, aprendizado de máquina e otimização, com pesquisadores vinculados ao Programa de Pós-Graduação em Modelagem Matemática e Computacional [3]. A cooperação proposta aplicaria essas competências ao Aptus: a empresa definiria critérios de seleção, casos e revisores; estudantes e docentes desenvolveriam e avaliariam extração documental, interpretação e composição de equipes. O piloto começaria em uma área, usando 3–5 editais públicos históricos e perfis sintéticos; depois, 50–100 profissionais autorizados, em modo sombra. Compararia o processo com busca manual, medindo cobertura, erros, horas de todas as áreas, custo total e adesão. RH verificaria provas, PMO confirmaria disponibilidade e Licitações avaliaria os dossiês. Antes de dados reais, seriam definidos acesso, finalidade, retenção e condições de compartilhamento; serviços externos dependeriam de autorização. A expansão exigiria benefício líquido e qualidade pactuados previamente. Projetos de pesquisa aplicada, estágios e trabalhos de conclusão poderiam dar continuidade à colaboração, mediante instrumentos institucionais e definição de propriedade intelectual.</w:t>
      </w:r>
    </w:p>
    <w:p>
      <w:pPr>
        <w:pStyle w:val="Heading1"/>
      </w:pPr>
      <w:r>
        <w:t xml:space="preserve">6  Fontes e ferramentas</w:t>
      </w:r>
      <w:r>
        <w:rPr>
          <w:b w:val="false"/>
          <w:bCs w:val="false"/>
          <w:color w:val="698094"/>
          <w:sz w:val="16"/>
          <w:szCs w:val="16"/>
        </w:rPr>
        <w:t xml:space="preserve">   art. 17 e art. 34</w:t>
      </w:r>
    </w:p>
    <w:p>
      <w:pPr>
        <w:spacing w:line="240" w:lineRule="auto" w:after="60"/>
      </w:pPr>
      <w:r>
        <w:rPr>
          <w:rFonts w:ascii="Arial" w:hAnsi="Arial"/>
          <w:color w:val="1E2A33"/>
          <w:sz w:val="18"/>
        </w:rPr>
        <w:t>[1] EloGroup. Case B Nexora, pp. 14–19. Briefing D03, HackatOhm 2026. Material fornecido à equipe.</w:t>
      </w:r>
    </w:p>
    <w:p>
      <w:pPr>
        <w:spacing w:line="240" w:lineRule="auto" w:after="60"/>
      </w:pPr>
      <w:r>
        <w:rPr>
          <w:rFonts w:ascii="Arial" w:hAnsi="Arial"/>
          <w:color w:val="1E2A33"/>
          <w:sz w:val="18"/>
        </w:rPr>
        <w:t xml:space="preserve">[2] Métodos e tecnologias propostos: </w:t>
      </w:r>
      <w:hyperlink r:id="rId11">
        <w:r>
          <w:rPr>
            <w:color w:val="24527A"/>
            <w:sz w:val="18"/>
          </w:rPr>
          <w:t>Docling</w:t>
        </w:r>
      </w:hyperlink>
      <w:r>
        <w:rPr>
          <w:rFonts w:ascii="Arial" w:hAnsi="Arial"/>
          <w:color w:val="1E2A33"/>
          <w:sz w:val="18"/>
        </w:rPr>
        <w:t xml:space="preserve">; </w:t>
      </w:r>
      <w:hyperlink r:id="rId12">
        <w:r>
          <w:rPr>
            <w:color w:val="24527A"/>
            <w:sz w:val="18"/>
          </w:rPr>
          <w:t>Qwen</w:t>
        </w:r>
      </w:hyperlink>
      <w:r>
        <w:rPr>
          <w:rFonts w:ascii="Arial" w:hAnsi="Arial"/>
          <w:color w:val="1E2A33"/>
          <w:sz w:val="18"/>
        </w:rPr>
        <w:t xml:space="preserve">; </w:t>
      </w:r>
      <w:hyperlink r:id="rId13">
        <w:r>
          <w:rPr>
            <w:color w:val="24527A"/>
            <w:sz w:val="18"/>
          </w:rPr>
          <w:t>PostgreSQL/pgvector</w:t>
        </w:r>
      </w:hyperlink>
      <w:r>
        <w:rPr>
          <w:rFonts w:ascii="Arial" w:hAnsi="Arial"/>
          <w:color w:val="1E2A33"/>
          <w:sz w:val="18"/>
        </w:rPr>
        <w:t xml:space="preserve">; </w:t>
      </w:r>
      <w:hyperlink r:id="rId14">
        <w:r>
          <w:rPr>
            <w:color w:val="24527A"/>
            <w:sz w:val="18"/>
          </w:rPr>
          <w:t>Jev</w:t>
        </w:r>
      </w:hyperlink>
      <w:r>
        <w:rPr>
          <w:rFonts w:ascii="Arial" w:hAnsi="Arial"/>
          <w:color w:val="1E2A33"/>
          <w:sz w:val="18"/>
        </w:rPr>
        <w:t xml:space="preserve">; </w:t>
      </w:r>
      <w:hyperlink r:id="rId15">
        <w:r>
          <w:rPr>
            <w:color w:val="24527A"/>
            <w:sz w:val="18"/>
          </w:rPr>
          <w:t>OR-Tools CP-SAT</w:t>
        </w:r>
      </w:hyperlink>
      <w:r>
        <w:rPr>
          <w:rFonts w:ascii="Arial" w:hAnsi="Arial"/>
          <w:color w:val="1E2A33"/>
          <w:sz w:val="18"/>
        </w:rPr>
        <w:t>. Documentação oficial, consulta em 27 out. 2026.</w:t>
      </w:r>
    </w:p>
    <w:p>
      <w:pPr>
        <w:spacing w:line="240" w:lineRule="auto" w:after="60"/>
      </w:pPr>
      <w:r>
        <w:rPr>
          <w:rFonts w:ascii="Arial" w:hAnsi="Arial"/>
          <w:color w:val="1E2A33"/>
          <w:sz w:val="18"/>
        </w:rPr>
        <w:t xml:space="preserve">[3] </w:t>
      </w:r>
      <w:hyperlink r:id="rId16">
        <w:r>
          <w:rPr>
            <w:color w:val="24527A"/>
            <w:sz w:val="18"/>
          </w:rPr>
          <w:t>EloGroup. Sobre a EloGroup</w:t>
        </w:r>
      </w:hyperlink>
      <w:r>
        <w:rPr>
          <w:rFonts w:ascii="Arial" w:hAnsi="Arial"/>
          <w:color w:val="1E2A33"/>
          <w:sz w:val="18"/>
        </w:rPr>
        <w:t xml:space="preserve">; </w:t>
      </w:r>
      <w:hyperlink r:id="rId17">
        <w:r>
          <w:rPr>
            <w:color w:val="24527A"/>
            <w:sz w:val="18"/>
          </w:rPr>
          <w:t>CEFET-MG. Laboratório de Sistemas Inteligentes</w:t>
        </w:r>
      </w:hyperlink>
      <w:r>
        <w:rPr>
          <w:rFonts w:ascii="Arial" w:hAnsi="Arial"/>
          <w:color w:val="1E2A33"/>
          <w:sz w:val="18"/>
        </w:rPr>
        <w:t>. Páginas institucionais, consulta em 27 out. 2026.</w:t>
      </w:r>
    </w:p>
    <w:p>
      <w:pPr>
        <w:spacing w:line="240" w:lineRule="auto" w:after="60"/>
      </w:pPr>
      <w:r>
        <w:rPr>
          <w:rFonts w:ascii="Arial" w:hAnsi="Arial"/>
          <w:color w:val="1E2A33"/>
          <w:sz w:val="18"/>
        </w:rPr>
        <w:t xml:space="preserve">[4] Recursos de análise, cálculo e diagramação: Python. Privacidade: </w:t>
      </w:r>
      <w:hyperlink r:id="rId18">
        <w:r>
          <w:rPr>
            <w:color w:val="24527A"/>
            <w:sz w:val="18"/>
          </w:rPr>
          <w:t>LGPD, Lei 13.709/2018</w:t>
        </w:r>
      </w:hyperlink>
      <w:r>
        <w:rPr>
          <w:rFonts w:ascii="Arial" w:hAnsi="Arial"/>
          <w:color w:val="1E2A33"/>
          <w:sz w:val="18"/>
        </w:rPr>
        <w:t xml:space="preserve">; </w:t>
      </w:r>
      <w:hyperlink r:id="rId19">
        <w:r>
          <w:rPr>
            <w:color w:val="24527A"/>
            <w:sz w:val="18"/>
          </w:rPr>
          <w:t>ANPD, Resolução 19/2024</w:t>
        </w:r>
      </w:hyperlink>
      <w:r>
        <w:rPr>
          <w:rFonts w:ascii="Arial" w:hAnsi="Arial"/>
          <w:color w:val="1E2A33"/>
          <w:sz w:val="18"/>
        </w:rPr>
        <w:t>.</w:t>
      </w:r>
    </w:p>
    <w:sectPr>
      <w:headerReference w:type="default" r:id="rId6"/>
      <w:footerReference w:type="default" r:id="rId7"/>
      <w:pgSz w:w="11906" w:h="16838" w:orient="portrait"/>
      <w:pgMar w:top="1250" w:right="1134" w:bottom="1000" w:left="1134" w:header="540" w:footer="44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E0E6" w:sz="4" w:space="4"/>
      </w:pBdr>
      <w:tabs>
        <w:tab w:val="right" w:pos="9638"/>
      </w:tabs>
      <w:spacing w:after="0"/>
    </w:pPr>
    <w:r>
      <w:rPr>
        <w:color w:val="698094"/>
        <w:sz w:val="15"/>
        <w:szCs w:val="15"/>
      </w:rPr>
      <w:t xml:space="preserve">HackatOhm 2026  •  Resumo da proposta de solução</w:t>
    </w:r>
    <w:r>
      <w:rPr>
        <w:color w:val="698094"/>
        <w:sz w:val="15"/>
        <w:szCs w:val="15"/>
      </w:rPr>
      <w:tab/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DD305" w:sz="18" w:space="4"/>
      </w:pBdr>
      <w:tabs>
        <w:tab w:val="right" w:pos="9638"/>
      </w:tabs>
      <w:spacing w:after="0"/>
    </w:pPr>
    <w:r>
      <w:rPr>
        <w:b/>
        <w:bCs/>
        <w:color w:val="111E25"/>
        <w:sz w:val="26"/>
        <w:szCs w:val="26"/>
      </w:rPr>
      <w:t xml:space="preserve">Hackat</w:t>
    </w:r>
    <w:r>
      <w:rPr>
        <w:b/>
        <w:bCs/>
        <w:color w:val="698094"/>
        <w:sz w:val="26"/>
        <w:szCs w:val="26"/>
      </w:rPr>
      <w:t xml:space="preserve">Ohm</w:t>
    </w:r>
    <w:r>
      <w:rPr>
        <w:b/>
        <w:bCs/>
        <w:color w:val="111E25"/>
        <w:sz w:val="26"/>
        <w:szCs w:val="26"/>
      </w:rPr>
      <w:t xml:space="preserve"> 2026</w:t>
    </w:r>
    <w:r>
      <w:rPr>
        <w:color w:val="698094"/>
        <w:sz w:val="15"/>
        <w:szCs w:val="15"/>
      </w:rPr>
      <w:t xml:space="preserve">   Competição Acadêmica  •  CEFET-MG</w:t>
    </w:r>
    <w:r>
      <w:rPr>
        <w:b/>
        <w:bCs/>
        <w:color w:val="111E25"/>
        <w:sz w:val="15"/>
        <w:szCs w:val="15"/>
      </w:rPr>
      <w:tab/>
      <w:t xml:space="preserve">Resumo da proposta  •  máximo de 2 páginas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A33"/>
        <w:sz w:val="22"/>
        <w:szCs w:val="22"/>
      </w:rPr>
    </w:rPrDefault>
    <w:pPrDefault>
      <w:pPr>
        <w:spacing w:after="80" w:line="259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40" w:before="0" w:line="240"/>
    </w:pPr>
    <w:rPr>
      <w:b/>
      <w:bCs/>
      <w:color w:val="111E25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pBdr>
        <w:left w:val="single" w:color="FDD305" w:sz="24" w:space="6"/>
      </w:pBdr>
      <w:spacing w:after="60" w:before="180" w:line="240"/>
      <w:outlineLvl w:val="0"/>
    </w:pPr>
    <w:rPr>
      <w:b/>
      <w:bCs/>
      <w:color w:val="111E25"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80" w:line="240"/>
      <w:outlineLvl w:val="1"/>
    </w:pPr>
    <w:rPr>
      <w:b/>
      <w:bCs/>
      <w:color w:val="3A4651"/>
      <w:sz w:val="22"/>
      <w:szCs w:val="22"/>
    </w:rPr>
  </w:style>
  <w:style w:type="paragraph" w:styleId="Caption">
    <w:name w:val="Caption"/>
    <w:basedOn w:val="Normal"/>
    <w:next w:val="Normal"/>
    <w:qFormat/>
    <w:pPr>
      <w:spacing w:after="100" w:before="60" w:line="240"/>
      <w:jc w:val="center"/>
    </w:pPr>
    <w:rPr>
      <w:color w:val="3A4651"/>
      <w:sz w:val="18"/>
      <w:szCs w:val="18"/>
    </w:rPr>
  </w:style>
  <w:style w:type="paragraph" w:styleId="Sintese">
    <w:name w:val="Síntese"/>
    <w:basedOn w:val="Normal"/>
    <w:next w:val="Normal"/>
    <w:pPr>
      <w:pBdr>
        <w:top w:val="single" w:color="F2F4F6" w:sz="2" w:space="4"/>
        <w:bottom w:val="single" w:color="F2F4F6" w:sz="2" w:space="4"/>
      </w:pBdr>
      <w:shd w:fill="F2F4F6" w:color="auto" w:val="clear"/>
      <w:ind w:left="120" w:right="120"/>
    </w:pPr>
  </w:style>
  <w:style w:type="paragraph" w:styleId="Campo">
    <w:name w:val="Campo da identificação"/>
    <w:basedOn w:val="Normal"/>
    <w:next w:val="Campo"/>
    <w:pPr>
      <w:spacing w:after="0" w:line="240"/>
    </w:pPr>
    <w:rPr>
      <w:sz w:val="19"/>
      <w:szCs w:val="19"/>
    </w:rPr>
  </w:style>
  <w:style w:type="paragraph" w:styleId="Fontes">
    <w:name w:val="Fontes e referências"/>
    <w:basedOn w:val="Normal"/>
    <w:next w:val="Fontes"/>
    <w:pPr>
      <w:spacing w:after="40" w:line="240"/>
    </w:pPr>
    <w:rPr>
      <w:sz w:val="18"/>
      <w:szCs w:val="18"/>
    </w:rPr>
  </w:style>
  <w:style w:type="paragraph" w:styleId="Guia">
    <w:name w:val="Orientação"/>
    <w:basedOn w:val="Normal"/>
    <w:next w:val="Guia"/>
    <w:pPr>
      <w:spacing w:after="50" w:line="252"/>
    </w:pPr>
    <w:rPr>
      <w:sz w:val="22"/>
      <w:szCs w:val="22"/>
    </w:rPr>
  </w:style>
  <w:style w:type="character" w:styleId="PlaceholderText">
    <w:name w:val="Placeholder Text"/>
    <w:basedOn w:val="DefaultParagraphFont"/>
    <w:uiPriority w:val="99"/>
    <w:unhideWhenUsed/>
    <w:rPr>
      <w:i/>
      <w:iCs/>
      <w:color w:val="6B778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Relationship Id="rId10" Type="http://schemas.openxmlformats.org/officeDocument/2006/relationships/image" Target="media/image1.png"/><Relationship Id="rId11" Type="http://schemas.openxmlformats.org/officeDocument/2006/relationships/hyperlink" Target="https://docling-project.github.io/docling/" TargetMode="External"/><Relationship Id="rId12" Type="http://schemas.openxmlformats.org/officeDocument/2006/relationships/hyperlink" Target="https://huggingface.co/Qwen" TargetMode="External"/><Relationship Id="rId13" Type="http://schemas.openxmlformats.org/officeDocument/2006/relationships/hyperlink" Target="https://github.com/pgvector/pgvector" TargetMode="External"/><Relationship Id="rId14" Type="http://schemas.openxmlformats.org/officeDocument/2006/relationships/hyperlink" Target="https://docs.typesafe.ai/models" TargetMode="External"/><Relationship Id="rId15" Type="http://schemas.openxmlformats.org/officeDocument/2006/relationships/hyperlink" Target="https://developers.google.com/optimization/cp/cp_solver" TargetMode="External"/><Relationship Id="rId16" Type="http://schemas.openxmlformats.org/officeDocument/2006/relationships/hyperlink" Target="https://elogroup.com/sobre-a-elogroup/" TargetMode="External"/><Relationship Id="rId17" Type="http://schemas.openxmlformats.org/officeDocument/2006/relationships/hyperlink" Target="https://www.cdip.cefetmg.br/laboratorio-de-sistemas-inteligentes-lsi/" TargetMode="External"/><Relationship Id="rId18" Type="http://schemas.openxmlformats.org/officeDocument/2006/relationships/hyperlink" Target="https://www2.camara.leg.br/legin/fed/lei/2018/lei-13709-14-agosto-de-2018-787077-normaatualizada-pl.html" TargetMode="External"/><Relationship Id="rId19" Type="http://schemas.openxmlformats.org/officeDocument/2006/relationships/hyperlink" Target="https://www.gov.br/anpd/pt-br/acesso-a-informacao/institucional/atos-normativos/regulamentacoes_anpd/resolucao-cd-anpd-no-19-de-23-de-agosto-de-2024" TargetMode="External"/><Relationship Id="rIdAptusPitch" Type="http://schemas.openxmlformats.org/officeDocument/2006/relationships/hyperlink" Target="https://github.com/santana-iago/hackatohm/releases/tag/pitch-v4" TargetMode="External"/><Relationship Id="rIdAptusRepo" Type="http://schemas.openxmlformats.org/officeDocument/2006/relationships/hyperlink" Target="https://github.com/santana-iago/hackatoh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Aptus para equipes e propostas técnicas comprováveis</dc:title>
  <dc:creator>Equipe Quatro e meio</dc:creator>
  <dc:description>Modelo oficial de resumo da proposta de solução</dc:description>
  <cp:lastModifiedBy>Comissão organizadora do HackatOhm 2026</cp:lastModifiedBy>
  <cp:revision>1</cp:revision>
  <dcterms:created xsi:type="dcterms:W3CDTF">2026-10-19T02:52:07.719Z</dcterms:created>
  <dcterms:modified xsi:type="dcterms:W3CDTF">2026-10-19T02:52:07.735Z</dcterms:modified>
  <dc:subject>HackatOhm 2026 — D03 EloGroup — Resumo da proposta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