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APTUS: roteiro do pitch orientado à avaliação</w:t>
      </w:r>
    </w:p>
    <w:p>
      <w:r>
        <w:t>Uso interno da equipe. Meta de montagem: 4min50s, com pausas e transições a conferir no ensaio. Ler somente as falas; as cenas são orientações de gravação. A demonstração pressupõe o mock navegável. Manter as identificações de dados sintéticos e arquitetura proposta.</w:t>
      </w:r>
    </w:p>
    <w:p>
      <w:pPr>
        <w:pStyle w:val="Heading1"/>
      </w:pPr>
      <w:r>
        <w:t>00:00–00:30  Problema quantificado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Abrir com o caso Nexora e a conta 40 × 15–25 = 600–1.000 horas por ano.</w:t>
      </w:r>
    </w:p>
    <w:p>
      <w:pPr>
        <w:jc w:val="both"/>
      </w:pPr>
      <w:r>
        <w:t>A Nexora reúne mais de mil profissionais. Segundo o briefing, são cerca de quarenta disputas por ano, e os gestores gastam, juntos, de quinze a vinte e cinco horas por disputa procurando e ajustando currículos. Isso representa de seiscentas a mil horas anuais, além do risco de deixar de fora profissionais cuja experiência não foi localizada ou comprovada.</w:t>
      </w:r>
    </w:p>
    <w:p>
      <w:pPr>
        <w:pStyle w:val="Heading1"/>
      </w:pPr>
      <w:r>
        <w:t>00:30–00:55  Contribuição da equipe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Exibir Aptus e o canvas completo, identificado como arquitetura proposta.</w:t>
      </w:r>
    </w:p>
    <w:p>
      <w:pPr>
        <w:jc w:val="both"/>
      </w:pPr>
      <w:r>
        <w:t>A contribuição do Aptus está na qualidade da implementação proposta. Integramos recuperação de evidências, modelos de linguagem, Jev, regras verificáveis e otimização para ligar cada recomendação às suas fontes. Essa arquitetura foi desenhada com responsabilidades claras, custo controlável e revisão humana nos pontos que exigem decisão.</w:t>
      </w:r>
    </w:p>
    <w:p>
      <w:pPr>
        <w:pStyle w:val="Heading1"/>
      </w:pPr>
      <w:r>
        <w:t>00:55–02:00  Pipeline de funcionamento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Percorrer os grupos Evidências, Interpretação e Decisão; destacar a rota SQL independente.</w:t>
      </w:r>
    </w:p>
    <w:p>
      <w:pPr>
        <w:jc w:val="both"/>
      </w:pPr>
      <w:r>
        <w:t>Docling organiza os documentos e o LLM Qwen estrutura as informações. O PostgreSQL preserva fatos, fontes e versões. A recuperação híbrida localiza evidências para contextualizar o modelo pelo RAG. Jev avalia correspondências e ambiguidades entre requisitos e provas.</w:t>
      </w:r>
    </w:p>
    <w:p>
      <w:pPr>
        <w:jc w:val="both"/>
      </w:pPr>
      <w:r>
        <w:t>Licitações revisa os critérios; Java calcula elegibilidade e pontos; o OR-Tools compõe a equipe respeitando papéis e disponibilidade confirmada pelo PMO. A consulta SQL mantém candidatos conhecidos no processo, mesmo quando a similaridade textual é baixa.</w:t>
      </w:r>
    </w:p>
    <w:p>
      <w:pPr>
        <w:jc w:val="both"/>
      </w:pPr>
      <w:r>
        <w:t>Na saída, o LLM redige com fontes, Jev revisa a aderência semântica e Java confere referências. O dossiê passa por aprovação. A interpretação fica ligada a regras reproduzíveis e a responsáveis que podem revisar a decisão.</w:t>
      </w:r>
    </w:p>
    <w:p>
      <w:r>
        <w:br w:type="page"/>
      </w:r>
    </w:p>
    <w:p>
      <w:pPr>
        <w:pStyle w:val="Heading1"/>
      </w:pPr>
      <w:r>
        <w:t>02:00–02:55  Demonstração da lógica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Exibir 30→31; em seguida 31→33→35 com duas provas distintas aceitas e novos cálculos.</w:t>
      </w:r>
    </w:p>
    <w:p>
      <w:pPr>
        <w:jc w:val="both"/>
      </w:pPr>
      <w:r>
        <w:t>O exemplo utiliza dados sintéticos e processamento simulado. Escolher os profissionais isoladamente produz trinta pontos; considerar a composição conjunta chega a trinta e um. O Recovery identifica dois projetos já realizados que ainda precisam de atestados aceitos.</w:t>
      </w:r>
    </w:p>
    <w:p>
      <w:pPr>
        <w:jc w:val="both"/>
      </w:pPr>
      <w:r>
        <w:t>Receber o documento não altera a pontuação. Depois da verificação, do aceite no edital e de novo cálculo, ela passa para trinta e três. Com a segunda prova, chega a trinta e cinco. A interface mostra a regra e a evidência de cada parcela. Essa é uma demonstração da lógica, não uma medição de resultado comercial.</w:t>
      </w:r>
    </w:p>
    <w:p>
      <w:pPr>
        <w:pStyle w:val="Heading1"/>
      </w:pPr>
      <w:r>
        <w:t>02:55–03:30  Viabilidade e impacto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Mostrar arquitetura enxuta, processamento incremental e hipótese 800h × 40% = 320h, com rótulo de projeção.</w:t>
      </w:r>
    </w:p>
    <w:p>
      <w:pPr>
        <w:jc w:val="both"/>
      </w:pPr>
      <w:r>
        <w:t>O plano usa um núcleo Java e PostgreSQL, modelos locais leves e processamento incremental, com filas e limites de execução. O custo total inclui implantação, infraestrutura, APIs, manutenção e revisão humana. No cenário de quarenta disputas de vinte horas, uma redução líquida hipotética de quarenta por cento liberaria trezentas e vinte horas anuais. O piloto precisa demonstrar que o benefício compensa os custos adicionais.</w:t>
      </w:r>
    </w:p>
    <w:p>
      <w:pPr>
        <w:pStyle w:val="Heading1"/>
      </w:pPr>
      <w:r>
        <w:t>03:30–04:10  Confiabilidade segurança e jurídico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Exibir permissões antes da busca, documentos isolados e caminho de revisão humana.</w:t>
      </w:r>
    </w:p>
    <w:p>
      <w:pPr>
        <w:jc w:val="both"/>
      </w:pPr>
      <w:r>
        <w:t>A arquitetura prevê permissões por papel e finalidade antes de recuperar qualquer trecho, parsers isolados e modelos sem privilégios administrativos. Falhas e ambiguidades seguem para revisão, com histórico e contingência manual. O uso de dados reais exige definição de finalidade, base legal e retenção. Serviços externos dependem de avaliação contratual e, quando aplicável, de transferência internacional. Esses controles serão testados antes de ampliar o uso.</w:t>
      </w:r>
    </w:p>
    <w:p>
      <w:r>
        <w:br w:type="page"/>
      </w:r>
    </w:p>
    <w:p>
      <w:pPr>
        <w:pStyle w:val="Heading1"/>
      </w:pPr>
      <w:r>
        <w:t>04:10–04:30  Adesão e implantação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Mostrar confirmação de atualização e as fases Mock, Piloto e Integrações.</w:t>
      </w:r>
    </w:p>
    <w:p>
      <w:pPr>
        <w:jc w:val="both"/>
      </w:pPr>
      <w:r>
        <w:t>Eventos de projetos, campanhas e indicações geram atualizações para confirmação. RH mantém o cadastro, PMO responde pela agenda e Licitações pelos critérios. A implantação começa em uma área, medindo também a adesão e a fila de revisão.</w:t>
      </w:r>
    </w:p>
    <w:p>
      <w:pPr>
        <w:pStyle w:val="Heading1"/>
      </w:pPr>
      <w:r>
        <w:t>04:30–04:50  Cooperação e fechamento</w:t>
      </w:r>
    </w:p>
    <w:p>
      <w:pPr>
        <w:keepNext/>
      </w:pPr>
      <w:r>
        <w:rPr>
          <w:b/>
          <w:color w:val="475060"/>
          <w:sz w:val="18"/>
        </w:rPr>
        <w:t xml:space="preserve">Cena </w:t>
      </w:r>
      <w:r>
        <w:rPr>
          <w:color w:val="475060"/>
          <w:sz w:val="18"/>
        </w:rPr>
        <w:t>Exibir EloGroup e CEFET-MG como participantes de uma cooperação proposta.</w:t>
      </w:r>
    </w:p>
    <w:p>
      <w:pPr>
        <w:jc w:val="both"/>
      </w:pPr>
      <w:r>
        <w:t>A EloGroup contribuiria com regras e casos de negócio. O CEFET-MG agregaria desenvolvimento de software, inteligência artificial e pesquisa operacional para avaliar o piloto. O Aptus propõe uma implementação moderna, verificável e progressiva, cujo avanço depende de qualidade e viabilidade demonstradas.</w:t>
      </w:r>
    </w:p>
    <w:p>
      <w:pPr>
        <w:pStyle w:val="Heading1"/>
      </w:pPr>
      <w:r>
        <w:t>Orientações de ensaio</w:t>
      </w:r>
    </w:p>
    <w:p>
      <w:pPr>
        <w:pStyle w:val="ListBullet"/>
      </w:pPr>
      <w:r>
        <w:t>O pitch cobre as duas rubricas disponíveis: qualidade/viabilidade, problema, impacto, comunicação e diferenciação do briefing; inovação, aderência, viabilidade, impacto e fundamentação da página geral.</w:t>
      </w:r>
    </w:p>
    <w:p>
      <w:pPr>
        <w:pStyle w:val="ListBullet"/>
      </w:pPr>
      <w:r>
        <w:t>O bloco técnico tem 65 segundos previstos. O canvas deve permanecer legível, com destaque progressivo dos grupos. A montagem seleciona tomadas do mock sem acrescentar todo o banco de três minutos ao roteiro.</w:t>
      </w:r>
    </w:p>
    <w:p>
      <w:pPr>
        <w:pStyle w:val="ListBullet"/>
      </w:pPr>
      <w:r>
        <w:t>Os valores de 600–1.000 horas são uma conta sobre as premissas do briefing; 320 horas liberadas são uma hipótese. O exemplo 30/31/33/35 é sintético. Não afirmar economia real, melhora de taxa de vitória ou integração já validada.</w:t>
      </w:r>
    </w:p>
    <w:p>
      <w:pPr>
        <w:pStyle w:val="ListBullet"/>
      </w:pPr>
      <w:r>
        <w:t>O cenário econômico completo do resumo assume R$160/h: 320h × R$160 = R$51.200 de capacidade, antes das despesas adicionais. O benefício precisa superar os custos totais adicionais; capacidade liberada não é caixa garantido.</w:t>
      </w:r>
    </w:p>
    <w:p>
      <w:pPr>
        <w:pStyle w:val="ListBullet"/>
      </w:pPr>
      <w:r>
        <w:t>A evolução de 31 para 35 depende de duas provas distintas, verificadas, aceitas e recalculadas. O teto do cenário é 37, não 35. Falha, ausência de documento e incerteza não autorizam a aprovação.</w:t>
      </w:r>
    </w:p>
    <w:p>
      <w:pPr>
        <w:pStyle w:val="ListBullet"/>
      </w:pPr>
      <w:r>
        <w:t>A redação descreve controles projetados. Benchmark, revisão contratual, testes de segurança e validação de integração ainda são condições de avanço. Não declarar conformidade LGPD concluída.</w:t>
      </w:r>
    </w:p>
    <w:p>
      <w:pPr>
        <w:pStyle w:val="Heading1"/>
      </w:pPr>
      <w:r>
        <w:t>Fontes</w:t>
      </w:r>
    </w:p>
    <w:p>
      <w:r>
        <w:rPr>
          <w:sz w:val="18"/>
        </w:rPr>
        <w:t>Briefing EloGroup, páginas 14–19; documentação Aptus 3.1; página oficial do HackatOhm 2026; documentação de RAG, Jev e OR-Tools; LGPD e Resolução ANPD 19/2024. As referências completas estão no resumo e na matriz de avaliação.</w:t>
      </w:r>
    </w:p>
    <w:sectPr w:rsidR="00FC693F" w:rsidRPr="0006063C" w:rsidSect="00034616">
      <w:footerReference w:type="default" r:id="rId9"/>
      <w:pgSz w:w="11906" w:h="16838"/>
      <w:pgMar w:top="964" w:right="1134" w:bottom="935" w:left="1134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16B"/>
        <w:sz w:val="16"/>
      </w:rPr>
      <w:t xml:space="preserve">APTUS | HackatOhm 2026 | D03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1" w:lineRule="auto"/>
    </w:pPr>
    <w:rPr>
      <w:rFonts w:ascii="Arial" w:hAnsi="Arial"/>
      <w:color w:val="0F13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F131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F13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31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F131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APTUS Roteiro do pitch orientado à avaliação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