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75158"/>
          <w:sz w:val="18"/>
        </w:rPr>
        <w:t>ТЕХНИЧЕСКОЕ ЗАДАНИЕ · ДОПОЛНЕНИЕ</w:t>
      </w:r>
    </w:p>
    <w:p>
      <w:pPr>
        <w:spacing w:after="120"/>
      </w:pPr>
      <w:r>
        <w:rPr>
          <w:b/>
          <w:color w:val="1A2028"/>
          <w:sz w:val="40"/>
        </w:rPr>
        <w:t>Retail Media Platform v2.6</w:t>
      </w:r>
    </w:p>
    <w:p>
      <w:pPr>
        <w:spacing w:after="120"/>
      </w:pPr>
      <w:r>
        <w:rPr>
          <w:b/>
          <w:color w:val="1A2028"/>
          <w:sz w:val="28"/>
        </w:rPr>
        <w:t>Вторая ветка развития: монетизация и доказательство эффективности</w:t>
      </w:r>
    </w:p>
    <w:p>
      <w:pPr>
        <w:spacing w:after="280"/>
      </w:pPr>
      <w:r>
        <w:rPr>
          <w:color w:val="4B5563"/>
          <w:sz w:val="21"/>
        </w:rPr>
        <w:t>Дополняет TZ_Retail_Media_Platform_v2_5_Final_Hermes — не отменяет и не изменяет ни одного его требования. Составлено по итогам бизнес-оценки портала от 2026-07-11 (см. rmp_business_gap_review). Назначение документа — то же, что и у v2.5: спецификация, пригодная для передачи AI-агенту или команде разработки без дополнительных уточнений по объёму работ.</w:t>
      </w:r>
    </w:p>
    <w:p>
      <w:pPr>
        <w:shd w:val="clear" w:color="auto" w:fill="E7F4F5"/>
        <w:spacing w:after="320"/>
      </w:pPr>
      <w:r>
        <w:rPr>
          <w:sz w:val="21"/>
        </w:rPr>
        <w:t>Статус этой ветки: ни один пункт не требует переписывания домена Campaign/Delivery/PoP из v2.5 — все требования аддитивны к существующей архитектуре (см. §0.3). Единственное исключение — решение о модели тенантности (§1), которое нужно принять один раз, до начала разработки остальных пунктов, потому что задним числом оно становится дорогим.</w:t>
      </w:r>
    </w:p>
    <w:p>
      <w:r>
        <w:br w:type="page"/>
      </w:r>
    </w:p>
    <w:p>
      <w:pPr>
        <w:spacing w:before="400" w:after="120"/>
        <w:pBdr>
          <w:top w:val="single" w:sz="6" w:space="4" w:color="1A2028"/>
        </w:pBdr>
      </w:pPr>
      <w:r>
        <w:rPr>
          <w:b/>
          <w:color w:val="1A2028"/>
          <w:sz w:val="30"/>
        </w:rPr>
        <w:t>0. Статус документа и границы применения</w:t>
      </w:r>
    </w:p>
    <w:p>
      <w:pPr>
        <w:spacing w:before="280" w:after="80"/>
      </w:pPr>
      <w:r>
        <w:rPr>
          <w:b/>
          <w:color w:val="1A2028"/>
          <w:sz w:val="25"/>
        </w:rPr>
        <w:t>0.1 Отношение к v2.5</w:t>
      </w:r>
    </w:p>
    <w:p>
      <w:pPr>
        <w:spacing w:after="120"/>
      </w:pPr>
      <w:r>
        <w:rPr>
          <w:i w:val="0"/>
          <w:color w:val="1A2028"/>
          <w:sz w:val="20"/>
        </w:rPr>
        <w:t>Документ является дополнением (extension), а не редакцией. Все требования v2.5 остаются в силе без изменений. При противоречии между документами приоритет имеет v2.5, а расхождение должно быть явно разрешено отдельным решением, а не молчаливым выбором одного из двух текстов.</w:t>
      </w:r>
    </w:p>
    <w:p>
      <w:pPr>
        <w:spacing w:before="280" w:after="80"/>
      </w:pPr>
      <w:r>
        <w:rPr>
          <w:b/>
          <w:color w:val="1A2028"/>
          <w:sz w:val="25"/>
        </w:rPr>
        <w:t>0.2 Источник требований</w:t>
      </w:r>
    </w:p>
    <w:p>
      <w:pPr>
        <w:spacing w:after="120"/>
      </w:pPr>
      <w:r>
        <w:rPr>
          <w:i w:val="0"/>
          <w:color w:val="1A2028"/>
          <w:sz w:val="20"/>
        </w:rPr>
        <w:t>Требования этого документа получены из целевого функционального анализа портала с точки зрения бизнес-заказчика — не из технического аудита кода. Формулировки ниже описывают, ЧТО должна делать система, а не то, как именно это реализовано в текущей кодовой базе.</w:t>
      </w:r>
    </w:p>
    <w:p>
      <w:pPr>
        <w:spacing w:before="280" w:after="80"/>
      </w:pPr>
      <w:r>
        <w:rPr>
          <w:b/>
          <w:color w:val="1A2028"/>
          <w:sz w:val="25"/>
        </w:rPr>
        <w:t>0.3 Принцип аддитивности</w:t>
      </w:r>
    </w:p>
    <w:p>
      <w:pPr>
        <w:spacing w:after="120"/>
      </w:pPr>
      <w:r>
        <w:rPr>
          <w:i w:val="0"/>
          <w:color w:val="1A2028"/>
          <w:sz w:val="20"/>
        </w:rPr>
        <w:t>Каждый домен ниже спроектирован так, чтобы не требовать модификации существующих таблиц Campaign/CampaignFlight/CampaignPlacement/CampaignCreative/DeliveryPlan/DeliveryManifest/PopEventRaw и связанной с ними бизнес-логики, за двумя точечными исключениями, отмеченными явно в §4 и §6 — оба ограничены одной функцией/модулем, а не доменом целиком.</w:t>
      </w:r>
    </w:p>
    <w:p>
      <w:pPr>
        <w:spacing w:before="400" w:after="120"/>
        <w:pBdr>
          <w:top w:val="single" w:sz="6" w:space="4" w:color="1A2028"/>
        </w:pBdr>
      </w:pPr>
      <w:r>
        <w:rPr>
          <w:b/>
          <w:color w:val="1A2028"/>
          <w:sz w:val="30"/>
        </w:rPr>
        <w:t>1. Приоритет 0 — архитектурное решение до начала разработки</w:t>
      </w:r>
    </w:p>
    <w:p>
      <w:pPr>
        <w:spacing w:before="280" w:after="80"/>
      </w:pPr>
      <w:r>
        <w:rPr>
          <w:b/>
          <w:color w:val="1A2028"/>
          <w:sz w:val="25"/>
        </w:rPr>
        <w:t>1.1 Модель тенантности</w:t>
      </w:r>
      <w:r>
        <w:rPr>
          <w:b/>
          <w:color w:val="B3261E"/>
          <w:sz w:val="18"/>
        </w:rPr>
        <w:t xml:space="preserve">   [ПРИОРИТЕТ 0 — решить до старта]</w:t>
      </w:r>
    </w:p>
    <w:p>
      <w:pPr>
        <w:spacing w:after="120"/>
      </w:pPr>
      <w:r>
        <w:rPr>
          <w:i w:val="0"/>
          <w:color w:val="1A2028"/>
          <w:sz w:val="20"/>
        </w:rPr>
        <w:t>Вся текущая модель данных (иерархия Филиал → Кластер → Магазин → Устройство, RLS-политики) неявно предполагает одну розничную сеть. Ни в v2.5, ни в текущей реализации нет понятия «сеть/ритейлер» как отдельного уровня скоупинга.</w:t>
      </w:r>
    </w:p>
    <w:p>
      <w:pPr>
        <w:spacing w:before="160" w:after="60"/>
      </w:pPr>
      <w:r>
        <w:rPr>
          <w:b/>
          <w:color w:val="075158"/>
          <w:sz w:val="21"/>
        </w:rPr>
        <w:t>Требования</w:t>
      </w:r>
    </w:p>
    <w:p>
      <w:pPr>
        <w:pStyle w:val="ListBullet"/>
        <w:spacing w:after="80"/>
      </w:pPr>
      <w:r>
        <w:rPr>
          <w:color w:val="1A2028"/>
          <w:sz w:val="20"/>
        </w:rPr>
        <w:t>Бизнес-заказчик должен явно зафиксировать решением (ADR): остаётся ли платформа однотенантной постоянно, или допускается будущая синдикация инвентаря нескольких розничных сетей под одной рекламной платформой.</w:t>
      </w:r>
    </w:p>
    <w:p>
      <w:pPr>
        <w:pStyle w:val="ListBullet"/>
        <w:spacing w:after="80"/>
      </w:pPr>
      <w:r>
        <w:rPr>
          <w:color w:val="1A2028"/>
          <w:sz w:val="20"/>
        </w:rPr>
        <w:t>Если решение — «допускается синдикация в будущем»: все новые таблицы, вводимые пунктами §2–§8 этого документа, должны с первого дня включать поле retailer_id/network_id (с одним предустановленным значением для текущей единственной сети), а новые RLS-политики должны проектироваться как двухуровневый скоуп (retailer → advertiser), даже если сейчас retailer всегда один и тот же.</w:t>
      </w:r>
    </w:p>
    <w:p>
      <w:pPr>
        <w:pStyle w:val="ListBullet"/>
        <w:spacing w:after="80"/>
      </w:pPr>
      <w:r>
        <w:rPr>
          <w:color w:val="1A2028"/>
          <w:sz w:val="20"/>
        </w:rPr>
        <w:t>Если решение — «однотенантность постоянна»: явно зафиксировать это в ADR как осознанный выбор, чтобы вопрос не поднимался повторно при каждом новом домене.</w:t>
      </w:r>
    </w:p>
    <w:p>
      <w:pPr>
        <w:spacing w:before="160" w:after="60"/>
      </w:pPr>
      <w:r>
        <w:rPr>
          <w:b/>
          <w:color w:val="075158"/>
          <w:sz w:val="21"/>
        </w:rPr>
        <w:t>Критерий приёмки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Существует ADR с явным решением о модели тенантности, до начала работ по §2–§9.</w:t>
      </w:r>
    </w:p>
    <w:p>
      <w:pPr>
        <w:spacing w:before="400" w:after="120"/>
        <w:pBdr>
          <w:top w:val="single" w:sz="6" w:space="4" w:color="1A2028"/>
        </w:pBdr>
      </w:pPr>
      <w:r>
        <w:rPr>
          <w:b/>
          <w:color w:val="1A2028"/>
          <w:sz w:val="30"/>
        </w:rPr>
        <w:t>2. Домены разработки — приоритет 1</w:t>
      </w:r>
    </w:p>
    <w:p>
      <w:pPr>
        <w:spacing w:after="200"/>
      </w:pPr>
      <w:r>
        <w:rPr>
          <w:i/>
          <w:color w:val="1A2028"/>
          <w:sz w:val="19"/>
        </w:rPr>
        <w:t>Наивысшая деловая отдача: напрямую влияют на то, сколько денег система способна принести.</w:t>
      </w:r>
    </w:p>
    <w:p>
      <w:pPr>
        <w:spacing w:before="280" w:after="80"/>
      </w:pPr>
      <w:r>
        <w:rPr>
          <w:b/>
          <w:color w:val="1A2028"/>
          <w:sz w:val="25"/>
        </w:rPr>
        <w:t>2.1 Измерение эффективности рекламы (Attribution &amp; Sales Lift)</w:t>
      </w:r>
      <w:r>
        <w:rPr>
          <w:b/>
          <w:color w:val="B5540A"/>
          <w:sz w:val="18"/>
        </w:rPr>
        <w:t xml:space="preserve">   [ПРИОРИТЕТ 1]</w:t>
      </w:r>
    </w:p>
    <w:p>
      <w:pPr>
        <w:spacing w:before="160" w:after="60"/>
      </w:pPr>
      <w:r>
        <w:rPr>
          <w:b/>
          <w:color w:val="075158"/>
          <w:sz w:val="21"/>
        </w:rPr>
        <w:t>Назначение</w:t>
      </w:r>
    </w:p>
    <w:p>
      <w:pPr>
        <w:spacing w:after="120"/>
      </w:pPr>
      <w:r>
        <w:rPr>
          <w:i w:val="0"/>
          <w:color w:val="1A2028"/>
          <w:sz w:val="20"/>
        </w:rPr>
        <w:t>Обеспечить рекламодателю доказательство влияния показов на продажи, а не только факта показа — это ключевое отличие retail media от обычной цифровой вывески и основание для премиальной цены инвентаря.</w:t>
      </w:r>
    </w:p>
    <w:p>
      <w:pPr>
        <w:spacing w:before="160" w:after="60"/>
      </w:pPr>
      <w:r>
        <w:rPr>
          <w:b/>
          <w:color w:val="075158"/>
          <w:sz w:val="21"/>
        </w:rPr>
        <w:t>Функциональные требования</w:t>
      </w:r>
    </w:p>
    <w:p>
      <w:pPr>
        <w:pStyle w:val="ListBullet"/>
        <w:spacing w:after="80"/>
      </w:pPr>
      <w:r>
        <w:rPr>
          <w:color w:val="1A2028"/>
          <w:sz w:val="20"/>
        </w:rPr>
        <w:t>Система должна принимать агрегированные, магазино-уровневые данные о продажах (не персональные чеки) через адаптер master-системы чеков/цен — переиспользуя интеграционный слой, уже предусмотренный архитектурой для синхронизации цены ESL/price checker.</w:t>
      </w:r>
    </w:p>
    <w:p>
      <w:pPr>
        <w:pStyle w:val="ListBullet"/>
        <w:spacing w:after="80"/>
      </w:pPr>
      <w:r>
        <w:rPr>
          <w:color w:val="1A2028"/>
          <w:sz w:val="20"/>
        </w:rPr>
        <w:t>Для каждой кампании должна вычисляться baseline-модель ожидаемых продаж по затронутым магазинам/SKU на основе исторических данных за сопоставимый период до старта кампании.</w:t>
      </w:r>
    </w:p>
    <w:p>
      <w:pPr>
        <w:pStyle w:val="ListBullet"/>
        <w:spacing w:after="80"/>
      </w:pPr>
      <w:r>
        <w:rPr>
          <w:color w:val="1A2028"/>
          <w:sz w:val="20"/>
        </w:rPr>
        <w:t>Должна поддерживаться модель «тестовая группа / контрольная группа» на уровне магазинов (не покупателей): часть охваченных магазинов получает кампанию, часть используется как контроль для расчёта инкрементальности.</w:t>
      </w:r>
    </w:p>
    <w:p>
      <w:pPr>
        <w:pStyle w:val="ListBullet"/>
        <w:spacing w:after="80"/>
      </w:pPr>
      <w:r>
        <w:rPr>
          <w:color w:val="1A2028"/>
          <w:sz w:val="20"/>
        </w:rPr>
        <w:t>Отчёт эффективности должен показывать: baseline, факт, разницу (lift) и, при наличии контрольной группы, доверительный интервал/статистическую значимость.</w:t>
      </w:r>
    </w:p>
    <w:p>
      <w:pPr>
        <w:pStyle w:val="ListBullet"/>
        <w:spacing w:after="80"/>
      </w:pPr>
      <w:r>
        <w:rPr>
          <w:color w:val="1A2028"/>
          <w:sz w:val="20"/>
        </w:rPr>
        <w:t>Данные должны агрегироваться не ниже уровня (магазин, SKU/категория, день) — минимальная гранулярность, исключающая деанонимизацию отдельных покупателей.</w:t>
      </w:r>
    </w:p>
    <w:p>
      <w:pPr>
        <w:pStyle w:val="ListBullet"/>
        <w:spacing w:after="80"/>
      </w:pPr>
      <w:r>
        <w:rPr>
          <w:color w:val="1A2028"/>
          <w:sz w:val="20"/>
        </w:rPr>
        <w:t>Результат должен версионироваться и не пересчитываться задним числом при изменении методологии расчёта (принцип §22.8 v2.5).</w:t>
      </w:r>
    </w:p>
    <w:p>
      <w:pPr>
        <w:spacing w:before="160" w:after="60"/>
      </w:pPr>
      <w:r>
        <w:rPr>
          <w:b/>
          <w:color w:val="075158"/>
          <w:sz w:val="21"/>
        </w:rPr>
        <w:t>Данные (новые сущности)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E8EAEE"/>
          </w:tcPr>
          <w:p>
            <w:r/>
            <w:r>
              <w:rPr>
                <w:b/>
                <w:color w:val="1A2028"/>
                <w:sz w:val="19"/>
              </w:rPr>
              <w:t>Сущность</w:t>
            </w:r>
          </w:p>
        </w:tc>
        <w:tc>
          <w:tcPr>
            <w:tcW w:type="dxa" w:w="4816"/>
            <w:shd w:val="clear" w:color="auto" w:fill="E8EAEE"/>
          </w:tcPr>
          <w:p>
            <w:r/>
            <w:r>
              <w:rPr>
                <w:b/>
                <w:color w:val="1A2028"/>
                <w:sz w:val="19"/>
              </w:rPr>
              <w:t>Назначение</w:t>
            </w:r>
          </w:p>
        </w:tc>
      </w:tr>
      <w:tr>
        <w:tc>
          <w:tcPr>
            <w:tcW w:type="dxa" w:w="4816"/>
          </w:tcPr>
          <w:p>
            <w:r/>
            <w:r>
              <w:rPr>
                <w:color w:val="1A2028"/>
                <w:sz w:val="19"/>
              </w:rPr>
              <w:t>SalesReferenceRecord</w:t>
            </w:r>
          </w:p>
        </w:tc>
        <w:tc>
          <w:tcPr>
            <w:tcW w:type="dxa" w:w="4816"/>
          </w:tcPr>
          <w:p>
            <w:r/>
            <w:r>
              <w:rPr>
                <w:color w:val="1A2028"/>
                <w:sz w:val="19"/>
              </w:rPr>
              <w:t>Агрегированная запись продаж по (магазин, SKU/категория, день)</w:t>
            </w:r>
          </w:p>
        </w:tc>
      </w:tr>
      <w:tr>
        <w:tc>
          <w:tcPr>
            <w:tcW w:type="dxa" w:w="4816"/>
          </w:tcPr>
          <w:p>
            <w:r/>
            <w:r>
              <w:rPr>
                <w:color w:val="1A2028"/>
                <w:sz w:val="19"/>
              </w:rPr>
              <w:t>CampaignAttributionWindow</w:t>
            </w:r>
          </w:p>
        </w:tc>
        <w:tc>
          <w:tcPr>
            <w:tcW w:type="dxa" w:w="4816"/>
          </w:tcPr>
          <w:p>
            <w:r/>
            <w:r>
              <w:rPr>
                <w:color w:val="1A2028"/>
                <w:sz w:val="19"/>
              </w:rPr>
              <w:t>Период и методология измерения для конкретной кампании</w:t>
            </w:r>
          </w:p>
        </w:tc>
      </w:tr>
      <w:tr>
        <w:tc>
          <w:tcPr>
            <w:tcW w:type="dxa" w:w="4816"/>
          </w:tcPr>
          <w:p>
            <w:r/>
            <w:r>
              <w:rPr>
                <w:color w:val="1A2028"/>
                <w:sz w:val="19"/>
              </w:rPr>
              <w:t>StoreControlGroupAssignment</w:t>
            </w:r>
          </w:p>
        </w:tc>
        <w:tc>
          <w:tcPr>
            <w:tcW w:type="dxa" w:w="4816"/>
          </w:tcPr>
          <w:p>
            <w:r/>
            <w:r>
              <w:rPr>
                <w:color w:val="1A2028"/>
                <w:sz w:val="19"/>
              </w:rPr>
              <w:t>Разметка магазинов кампании на тестовую/контрольную группу</w:t>
            </w:r>
          </w:p>
        </w:tc>
      </w:tr>
      <w:tr>
        <w:tc>
          <w:tcPr>
            <w:tcW w:type="dxa" w:w="4816"/>
          </w:tcPr>
          <w:p>
            <w:r/>
            <w:r>
              <w:rPr>
                <w:color w:val="1A2028"/>
                <w:sz w:val="19"/>
              </w:rPr>
              <w:t>CampaignLiftReport</w:t>
            </w:r>
          </w:p>
        </w:tc>
        <w:tc>
          <w:tcPr>
            <w:tcW w:type="dxa" w:w="4816"/>
          </w:tcPr>
          <w:p>
            <w:r/>
            <w:r>
              <w:rPr>
                <w:color w:val="1A2028"/>
                <w:sz w:val="19"/>
              </w:rPr>
              <w:t>Версионируемый результат: baseline/факт/lift/значимость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b/>
          <w:color w:val="075158"/>
          <w:sz w:val="21"/>
        </w:rPr>
        <w:t>Критерий приёмки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На пилотной кампании отчёт показывает baseline/факт/lift минимум для одного магазина с контрольной группой; методология зафиксирована и версионируется.</w:t>
      </w:r>
    </w:p>
    <w:p>
      <w:pPr>
        <w:spacing w:before="280" w:after="80"/>
      </w:pPr>
      <w:r>
        <w:rPr>
          <w:b/>
          <w:color w:val="1A2028"/>
          <w:sz w:val="25"/>
        </w:rPr>
        <w:t>2.2 Self-service кабинет рекламодателя</w:t>
      </w:r>
      <w:r>
        <w:rPr>
          <w:b/>
          <w:color w:val="B5540A"/>
          <w:sz w:val="18"/>
        </w:rPr>
        <w:t xml:space="preserve">   [ПРИОРИТЕТ 1]</w:t>
      </w:r>
    </w:p>
    <w:p>
      <w:pPr>
        <w:spacing w:before="160" w:after="60"/>
      </w:pPr>
      <w:r>
        <w:rPr>
          <w:b/>
          <w:color w:val="075158"/>
          <w:sz w:val="21"/>
        </w:rPr>
        <w:t>Назначение</w:t>
      </w:r>
    </w:p>
    <w:p>
      <w:pPr>
        <w:spacing w:after="120"/>
      </w:pPr>
      <w:r>
        <w:rPr>
          <w:i w:val="0"/>
          <w:color w:val="1A2028"/>
          <w:sz w:val="20"/>
        </w:rPr>
        <w:t>Снизить операционную зависимость от внутреннего рекламного менеджера для типовых кампаний — текущий кабинет read-only, что линейно ограничивает масштабирование на новых рекламодателей.</w:t>
      </w:r>
    </w:p>
    <w:p>
      <w:pPr>
        <w:spacing w:before="160" w:after="60"/>
      </w:pPr>
      <w:r>
        <w:rPr>
          <w:b/>
          <w:color w:val="075158"/>
          <w:sz w:val="21"/>
        </w:rPr>
        <w:t>Функциональные требования</w:t>
      </w:r>
    </w:p>
    <w:p>
      <w:pPr>
        <w:pStyle w:val="ListBullet"/>
        <w:spacing w:after="80"/>
      </w:pPr>
      <w:r>
        <w:rPr>
          <w:color w:val="1A2028"/>
          <w:sz w:val="20"/>
        </w:rPr>
        <w:t>Реализовать отдельное клиентское приложение (advertiser-facing web), уже присутствовавшее в целевой архитектуре продукта, но не реализованное.</w:t>
      </w:r>
    </w:p>
    <w:p>
      <w:pPr>
        <w:pStyle w:val="ListBullet"/>
        <w:spacing w:after="80"/>
      </w:pPr>
      <w:r>
        <w:rPr>
          <w:color w:val="1A2028"/>
          <w:sz w:val="20"/>
        </w:rPr>
        <w:t>Рекламодатель с ролью self-service должен иметь возможность в пределах своего RLS-скоупа: увидеть доступный инвентарь и прогноз показов, создать кампанию в статусе draft, загрузить креатив, отправить кампанию на модерацию/согласование.</w:t>
      </w:r>
    </w:p>
    <w:p>
      <w:pPr>
        <w:pStyle w:val="ListBullet"/>
        <w:spacing w:after="80"/>
      </w:pPr>
      <w:r>
        <w:rPr>
          <w:color w:val="1A2028"/>
          <w:sz w:val="20"/>
        </w:rPr>
        <w:t>Публикация кампании остаётся строго через существующий workflow согласования (draft → moderation → review → approved) — self-service не отменяет модерацию контента и бизнес-согласование, только этап создания и подачи заявки.</w:t>
      </w:r>
    </w:p>
    <w:p>
      <w:pPr>
        <w:pStyle w:val="ListBullet"/>
        <w:spacing w:after="80"/>
      </w:pPr>
      <w:r>
        <w:rPr>
          <w:color w:val="1A2028"/>
          <w:sz w:val="20"/>
        </w:rPr>
        <w:t>Должны быть настраиваемые guardrails: бюджетный/объёмный лимит, при превышении которого требуется ручное подтверждение менеджера; автоматическая проверка конфликтов инвентаря на этапе создания, доступная self-service клиенту через тот же расчёт, что видит внутренний менеджер.</w:t>
      </w:r>
    </w:p>
    <w:p>
      <w:pPr>
        <w:pStyle w:val="ListBullet"/>
        <w:spacing w:after="80"/>
      </w:pPr>
      <w:r>
        <w:rPr>
          <w:color w:val="1A2028"/>
          <w:sz w:val="20"/>
        </w:rPr>
        <w:t>Кредитный/бюджетный лимит рекламодателя должен проверяться на этапе создания кампании, не только по факту (биллинг остаётся вне периметра платформы согласно §2.2 v2.5).</w:t>
      </w:r>
    </w:p>
    <w:p>
      <w:pPr>
        <w:spacing w:before="160" w:after="60"/>
      </w:pPr>
      <w:r>
        <w:rPr>
          <w:b/>
          <w:color w:val="075158"/>
          <w:sz w:val="21"/>
        </w:rPr>
        <w:t>Данные (новые сущности)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E8EAEE"/>
          </w:tcPr>
          <w:p>
            <w:r/>
            <w:r>
              <w:rPr>
                <w:b/>
                <w:color w:val="1A2028"/>
                <w:sz w:val="19"/>
              </w:rPr>
              <w:t>Сущность</w:t>
            </w:r>
          </w:p>
        </w:tc>
        <w:tc>
          <w:tcPr>
            <w:tcW w:type="dxa" w:w="4816"/>
            <w:shd w:val="clear" w:color="auto" w:fill="E8EAEE"/>
          </w:tcPr>
          <w:p>
            <w:r/>
            <w:r>
              <w:rPr>
                <w:b/>
                <w:color w:val="1A2028"/>
                <w:sz w:val="19"/>
              </w:rPr>
              <w:t>Назначение</w:t>
            </w:r>
          </w:p>
        </w:tc>
      </w:tr>
      <w:tr>
        <w:tc>
          <w:tcPr>
            <w:tcW w:type="dxa" w:w="4816"/>
          </w:tcPr>
          <w:p>
            <w:r/>
            <w:r>
              <w:rPr>
                <w:color w:val="1A2028"/>
                <w:sz w:val="19"/>
              </w:rPr>
              <w:t>AdvertiserSelfServiceSettings</w:t>
            </w:r>
          </w:p>
        </w:tc>
        <w:tc>
          <w:tcPr>
            <w:tcW w:type="dxa" w:w="4816"/>
          </w:tcPr>
          <w:p>
            <w:r/>
            <w:r>
              <w:rPr>
                <w:color w:val="1A2028"/>
                <w:sz w:val="19"/>
              </w:rPr>
              <w:t>Включён ли self-service для рекламодателя, лимиты, guardrails</w:t>
            </w:r>
          </w:p>
        </w:tc>
      </w:tr>
      <w:tr>
        <w:tc>
          <w:tcPr>
            <w:tcW w:type="dxa" w:w="4816"/>
          </w:tcPr>
          <w:p>
            <w:r/>
            <w:r>
              <w:rPr>
                <w:color w:val="1A2028"/>
                <w:sz w:val="19"/>
              </w:rPr>
              <w:t>AdvertiserBudgetLimit</w:t>
            </w:r>
          </w:p>
        </w:tc>
        <w:tc>
          <w:tcPr>
            <w:tcW w:type="dxa" w:w="4816"/>
          </w:tcPr>
          <w:p>
            <w:r/>
            <w:r>
              <w:rPr>
                <w:color w:val="1A2028"/>
                <w:sz w:val="19"/>
              </w:rPr>
              <w:t>Бюджетный/объёмный лимит без подтверждения менеджера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b/>
          <w:color w:val="075158"/>
          <w:sz w:val="21"/>
        </w:rPr>
        <w:t>Критерий приёмки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Рекламодатель проводит кампанию от создания до публикации без действий внутреннего менеджера, кроме финального approve; все self-service действия проходят через тот же RBAC/RLS-контур, что и внутренний UI.</w:t>
      </w:r>
    </w:p>
    <w:p>
      <w:pPr>
        <w:spacing w:before="400" w:after="120"/>
        <w:pBdr>
          <w:top w:val="single" w:sz="6" w:space="4" w:color="1A2028"/>
        </w:pBdr>
      </w:pPr>
      <w:r>
        <w:rPr>
          <w:b/>
          <w:color w:val="1A2028"/>
          <w:sz w:val="30"/>
        </w:rPr>
        <w:t>3. Домены разработки — приоритет 2</w:t>
      </w:r>
    </w:p>
    <w:p>
      <w:pPr>
        <w:spacing w:after="200"/>
      </w:pPr>
      <w:r>
        <w:rPr>
          <w:i/>
          <w:color w:val="1A2028"/>
          <w:sz w:val="19"/>
        </w:rPr>
        <w:t>Снижение операционного риска и подготовка следующего уровня монетизации.</w:t>
      </w:r>
    </w:p>
    <w:p>
      <w:pPr>
        <w:spacing w:before="280" w:after="80"/>
      </w:pPr>
      <w:r>
        <w:rPr>
          <w:b/>
          <w:color w:val="1A2028"/>
          <w:sz w:val="25"/>
        </w:rPr>
        <w:t>3.1 Конкурентное разведение (Competitive Separation)</w:t>
      </w:r>
      <w:r>
        <w:rPr>
          <w:b/>
          <w:color w:val="8A6D00"/>
          <w:sz w:val="18"/>
        </w:rPr>
        <w:t xml:space="preserve">   [ПРИОРИТЕТ 2]</w:t>
      </w:r>
    </w:p>
    <w:p>
      <w:pPr>
        <w:spacing w:before="160" w:after="60"/>
      </w:pPr>
      <w:r>
        <w:rPr>
          <w:b/>
          <w:color w:val="075158"/>
          <w:sz w:val="21"/>
        </w:rPr>
        <w:t>Функциональные требования</w:t>
      </w:r>
    </w:p>
    <w:p>
      <w:pPr>
        <w:pStyle w:val="ListBullet"/>
        <w:spacing w:after="80"/>
      </w:pPr>
      <w:r>
        <w:rPr>
          <w:color w:val="1A2028"/>
          <w:sz w:val="20"/>
        </w:rPr>
        <w:t>Каждый бренд/рекламодатель должен иметь категорию конкурентности (товарная категория/отрасль).</w:t>
      </w:r>
    </w:p>
    <w:p>
      <w:pPr>
        <w:pStyle w:val="ListBullet"/>
        <w:spacing w:after="80"/>
      </w:pPr>
      <w:r>
        <w:rPr>
          <w:color w:val="1A2028"/>
          <w:sz w:val="20"/>
        </w:rPr>
        <w:t>При формировании плейлиста/manifest система должна проверять и предотвращать (либо требовать явного подтверждения при ручном override) размещение конкурирующих категорий подряд в одном временном окне на одной поверхности показа.</w:t>
      </w:r>
    </w:p>
    <w:p>
      <w:pPr>
        <w:pStyle w:val="ListBullet"/>
        <w:spacing w:after="80"/>
      </w:pPr>
      <w:r>
        <w:rPr>
          <w:color w:val="1A2028"/>
          <w:sz w:val="20"/>
        </w:rPr>
        <w:t>Правило разведения должно быть настраиваемым: минимальный интервал между конкурирующими показами, список исключений по категориям.</w:t>
      </w:r>
    </w:p>
    <w:p>
      <w:pPr>
        <w:pStyle w:val="ListBullet"/>
        <w:spacing w:after="80"/>
      </w:pPr>
      <w:r>
        <w:rPr>
          <w:color w:val="1A2028"/>
          <w:sz w:val="20"/>
        </w:rPr>
        <w:t>Ручной override правила должен фиксироваться в аудите с указанием причины.</w:t>
      </w:r>
    </w:p>
    <w:p>
      <w:pPr>
        <w:spacing w:before="160" w:after="60"/>
      </w:pPr>
      <w:r>
        <w:rPr>
          <w:b/>
          <w:color w:val="075158"/>
          <w:sz w:val="21"/>
        </w:rPr>
        <w:t>Данные</w:t>
      </w:r>
    </w:p>
    <w:p>
      <w:pPr>
        <w:pStyle w:val="ListBullet"/>
        <w:spacing w:after="80"/>
      </w:pPr>
      <w:r>
        <w:rPr>
          <w:color w:val="1A2028"/>
          <w:sz w:val="20"/>
        </w:rPr>
        <w:t>Новое поле competitive_category на сущности Brand/AdvertiserOrganization; новая таблица CompetitiveSeparationRule.</w:t>
      </w:r>
    </w:p>
    <w:p>
      <w:pPr>
        <w:spacing w:before="160" w:after="60"/>
      </w:pPr>
      <w:r>
        <w:rPr>
          <w:b/>
          <w:color w:val="075158"/>
          <w:sz w:val="21"/>
        </w:rPr>
        <w:t>Критерий приёмки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Попытка запланировать конкурирующий показ в запрещённом окне блокируется либо требует явного подтверждения с указанием причины.</w:t>
      </w:r>
    </w:p>
    <w:p>
      <w:pPr>
        <w:spacing w:before="280" w:after="80"/>
      </w:pPr>
      <w:r>
        <w:rPr>
          <w:b/>
          <w:color w:val="1A2028"/>
          <w:sz w:val="25"/>
        </w:rPr>
        <w:t>3.2 Аудиторный (магазино-уровневый) таргетинг</w:t>
      </w:r>
      <w:r>
        <w:rPr>
          <w:b/>
          <w:color w:val="8A6D00"/>
          <w:sz w:val="18"/>
        </w:rPr>
        <w:t xml:space="preserve">   [ПРИОРИТЕТ 2]</w:t>
      </w:r>
    </w:p>
    <w:p>
      <w:pPr>
        <w:spacing w:before="160" w:after="60"/>
      </w:pPr>
      <w:r>
        <w:rPr>
          <w:b/>
          <w:color w:val="075158"/>
          <w:sz w:val="21"/>
        </w:rPr>
        <w:t>Функциональные требования</w:t>
      </w:r>
    </w:p>
    <w:p>
      <w:pPr>
        <w:pStyle w:val="ListBullet"/>
        <w:spacing w:after="80"/>
      </w:pPr>
      <w:r>
        <w:rPr>
          <w:color w:val="1A2028"/>
          <w:sz w:val="20"/>
        </w:rPr>
        <w:t>Система должна поддерживать таргетинг кампании по анонимным атрибутам магазина (ценовой сегмент, средний чек, профиль трафика) — без привязки к личности покупателя, в дополнение к уже существующему таргетингу по SKU/зоне/магазину.</w:t>
      </w:r>
    </w:p>
    <w:p>
      <w:pPr>
        <w:pStyle w:val="ListBullet"/>
        <w:spacing w:after="80"/>
      </w:pPr>
      <w:r>
        <w:rPr>
          <w:color w:val="1A2028"/>
          <w:sz w:val="20"/>
        </w:rPr>
        <w:t>Атрибуты магазина должны загружаться через существующий адаптерный слой master-данных, без нового отдельного источника интеграции.</w:t>
      </w:r>
    </w:p>
    <w:p>
      <w:pPr>
        <w:pStyle w:val="ListBullet"/>
        <w:spacing w:after="80"/>
      </w:pPr>
      <w:r>
        <w:rPr>
          <w:color w:val="1A2028"/>
          <w:sz w:val="20"/>
        </w:rPr>
        <w:t>Таргетинг по этим атрибутам встраивается в существующий механизм таргетинга placement как дополнительное измерение, не отдельная подсистема.</w:t>
      </w:r>
    </w:p>
    <w:p>
      <w:pPr>
        <w:spacing w:before="160" w:after="60"/>
      </w:pPr>
      <w:r>
        <w:rPr>
          <w:b/>
          <w:color w:val="075158"/>
          <w:sz w:val="21"/>
        </w:rPr>
        <w:t>Критерий приёмки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Менеджер или self-service рекламодатель может выбрать набор магазинов по аудиторному атрибуту при создании размещения.</w:t>
      </w:r>
    </w:p>
    <w:p>
      <w:pPr>
        <w:spacing w:before="280" w:after="80"/>
      </w:pPr>
      <w:r>
        <w:rPr>
          <w:b/>
          <w:color w:val="1A2028"/>
          <w:sz w:val="25"/>
        </w:rPr>
        <w:t>3.3 Контракт интеграции с финансовой системой</w:t>
      </w:r>
      <w:r>
        <w:rPr>
          <w:b/>
          <w:color w:val="8A6D00"/>
          <w:sz w:val="18"/>
        </w:rPr>
        <w:t xml:space="preserve">   [ПРИОРИТЕТ 2]</w:t>
      </w:r>
    </w:p>
    <w:p>
      <w:pPr>
        <w:spacing w:before="160" w:after="60"/>
      </w:pPr>
      <w:r>
        <w:rPr>
          <w:b/>
          <w:color w:val="075158"/>
          <w:sz w:val="21"/>
        </w:rPr>
        <w:t>Функциональные требования</w:t>
      </w:r>
    </w:p>
    <w:p>
      <w:pPr>
        <w:pStyle w:val="ListBullet"/>
        <w:spacing w:after="80"/>
      </w:pPr>
      <w:r>
        <w:rPr>
          <w:color w:val="1A2028"/>
          <w:sz w:val="20"/>
        </w:rPr>
        <w:t>Система должна экспортировать (API или файловый экспорт) данные, необходимые для выставления счетов во внешней системе: рекламодатель, договор/заказ, период, объём, тариф, статус выполнения.</w:t>
      </w:r>
    </w:p>
    <w:p>
      <w:pPr>
        <w:pStyle w:val="ListBullet"/>
        <w:spacing w:after="80"/>
      </w:pPr>
      <w:r>
        <w:rPr>
          <w:color w:val="1A2028"/>
          <w:sz w:val="20"/>
        </w:rPr>
        <w:t>Экспорт должен быть версионируемым и идемпотентным — повторный запрос за тот же период не создаёт дублей на стороне потребителя.</w:t>
      </w:r>
    </w:p>
    <w:p>
      <w:pPr>
        <w:pStyle w:val="ListBullet"/>
        <w:spacing w:after="80"/>
      </w:pPr>
      <w:r>
        <w:rPr>
          <w:color w:val="1A2028"/>
          <w:sz w:val="20"/>
        </w:rPr>
        <w:t>Система должна принимать обратный статус (оплачено/не оплачено/частично) от внешней системы через тот же контракт, обновляя уже предусмотренное §22.12 v2.5 поле статуса оплаты кампании.</w:t>
      </w:r>
    </w:p>
    <w:p>
      <w:pPr>
        <w:spacing w:before="160" w:after="60"/>
      </w:pPr>
      <w:r>
        <w:rPr>
          <w:b/>
          <w:color w:val="075158"/>
          <w:sz w:val="21"/>
        </w:rPr>
        <w:t>Критерий приёмки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Пройден минимум один сквозной тестовый цикл: экспорт → (симулированный) ответ об оплате → обновление статуса в портале.</w:t>
      </w:r>
    </w:p>
    <w:p>
      <w:pPr>
        <w:spacing w:before="400" w:after="120"/>
        <w:pBdr>
          <w:top w:val="single" w:sz="6" w:space="4" w:color="1A2028"/>
        </w:pBdr>
      </w:pPr>
      <w:r>
        <w:rPr>
          <w:b/>
          <w:color w:val="1A2028"/>
          <w:sz w:val="30"/>
        </w:rPr>
        <w:t>4. Домены разработки — приоритет 3</w:t>
      </w:r>
    </w:p>
    <w:p>
      <w:pPr>
        <w:spacing w:after="200"/>
      </w:pPr>
      <w:r>
        <w:rPr>
          <w:i/>
          <w:color w:val="1A2028"/>
          <w:sz w:val="19"/>
        </w:rPr>
        <w:t>Точки расширения и дифференциаторы следующего этапа роста — не блокируют пилот.</w:t>
      </w:r>
    </w:p>
    <w:p>
      <w:pPr>
        <w:spacing w:before="280" w:after="80"/>
      </w:pPr>
      <w:r>
        <w:rPr>
          <w:b/>
          <w:color w:val="1A2028"/>
          <w:sz w:val="25"/>
        </w:rPr>
        <w:t>4.1 Точка расширения под программатик-спрос (проектирование, не реализация)</w:t>
      </w:r>
      <w:r>
        <w:rPr>
          <w:b/>
          <w:color w:val="3D5A80"/>
          <w:sz w:val="18"/>
        </w:rPr>
        <w:t xml:space="preserve">   [ПРИОРИТЕТ 3]</w:t>
      </w:r>
    </w:p>
    <w:p>
      <w:pPr>
        <w:spacing w:before="160" w:after="60"/>
      </w:pPr>
      <w:r>
        <w:rPr>
          <w:b/>
          <w:color w:val="075158"/>
          <w:sz w:val="21"/>
        </w:rPr>
        <w:t>Функциональные требования</w:t>
      </w:r>
    </w:p>
    <w:p>
      <w:pPr>
        <w:pStyle w:val="ListBullet"/>
        <w:spacing w:after="80"/>
      </w:pPr>
      <w:r>
        <w:rPr>
          <w:color w:val="1A2028"/>
          <w:sz w:val="20"/>
        </w:rPr>
        <w:t>При проектировании Inventory &amp; Planning Service (ещё не реализован согласно §6.3 v2.5) явно предусмотреть API-контур для будущего внешнего спроса (SSP-facing availability API), не завязанный на внутренний UI создания кампаний.</w:t>
      </w:r>
    </w:p>
    <w:p>
      <w:pPr>
        <w:pStyle w:val="ListBullet"/>
        <w:spacing w:after="80"/>
      </w:pPr>
      <w:r>
        <w:rPr>
          <w:color w:val="1A2028"/>
          <w:sz w:val="20"/>
        </w:rPr>
        <w:t>Автоматическая закупка внешними DSP/SSP по-прежнему не реализуется в этой ветке (сохраняется исключение §2.2 v2.5) — только контракт данных и явное место в архитектуре.</w:t>
      </w:r>
    </w:p>
    <w:p>
      <w:pPr>
        <w:spacing w:before="160" w:after="60"/>
      </w:pPr>
      <w:r>
        <w:rPr>
          <w:b/>
          <w:color w:val="075158"/>
          <w:sz w:val="21"/>
        </w:rPr>
        <w:t>Критерий приёмки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ADR фиксирует точку расширения; реализация API откладывается явным решением, а не умалчиванием.</w:t>
      </w:r>
    </w:p>
    <w:p>
      <w:pPr>
        <w:spacing w:before="280" w:after="80"/>
      </w:pPr>
      <w:r>
        <w:rPr>
          <w:b/>
          <w:color w:val="1A2028"/>
          <w:sz w:val="25"/>
        </w:rPr>
        <w:t>4.2 Динамический креатив (MVP на одном канале)</w:t>
      </w:r>
      <w:r>
        <w:rPr>
          <w:b/>
          <w:color w:val="3D5A80"/>
          <w:sz w:val="18"/>
        </w:rPr>
        <w:t xml:space="preserve">   [ПРИОРИТЕТ 3]</w:t>
      </w:r>
    </w:p>
    <w:p>
      <w:pPr>
        <w:spacing w:before="160" w:after="60"/>
      </w:pPr>
      <w:r>
        <w:rPr>
          <w:b/>
          <w:color w:val="075158"/>
          <w:sz w:val="21"/>
        </w:rPr>
        <w:t>Функциональные требования</w:t>
      </w:r>
    </w:p>
    <w:p>
      <w:pPr>
        <w:pStyle w:val="ListBullet"/>
        <w:spacing w:after="80"/>
      </w:pPr>
      <w:r>
        <w:rPr>
          <w:color w:val="1A2028"/>
          <w:sz w:val="20"/>
        </w:rPr>
        <w:t>Для одного пилотного канала (рекомендуется ESL/price checker, уже интегрированный с master-системой цен) реализовать базовый механизм переменных в шаблоне креатива: подстановка актуальной цены/промо-метки на момент генерации manifest.</w:t>
      </w:r>
    </w:p>
    <w:p>
      <w:pPr>
        <w:pStyle w:val="ListBullet"/>
        <w:spacing w:after="80"/>
      </w:pPr>
      <w:r>
        <w:rPr>
          <w:color w:val="1A2028"/>
          <w:sz w:val="20"/>
        </w:rPr>
        <w:t>Динамическая часть контента должна быть явно помечена как таковая отдельным полем manifest — не смешиваться со статическим, content_hash-проверяемым содержимым.</w:t>
      </w:r>
    </w:p>
    <w:p>
      <w:pPr>
        <w:pStyle w:val="ListBullet"/>
        <w:spacing w:after="80"/>
      </w:pPr>
      <w:r>
        <w:rPr>
          <w:color w:val="1A2028"/>
          <w:sz w:val="20"/>
        </w:rPr>
        <w:t>Портал остаётся не источником истины цены — только транслятором уже подтверждённого значения из master-системы (сохраняется принцип §23 v2.5).</w:t>
      </w:r>
    </w:p>
    <w:p>
      <w:pPr>
        <w:spacing w:before="160" w:after="60"/>
      </w:pPr>
      <w:r>
        <w:rPr>
          <w:b/>
          <w:color w:val="075158"/>
          <w:sz w:val="21"/>
        </w:rPr>
        <w:t>Критерий приёмки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На пилотном ESL-шаблоне подстановка цены отражает изменение в master-системе в течение согласованного SLA (например, следующего цикла обновления manifest).</w:t>
      </w:r>
    </w:p>
    <w:p>
      <w:pPr>
        <w:spacing w:before="280" w:after="80"/>
      </w:pPr>
      <w:r>
        <w:rPr>
          <w:b/>
          <w:color w:val="1A2028"/>
          <w:sz w:val="25"/>
        </w:rPr>
        <w:t>4.3 Мобильное приложение для полевых операций (MVP)</w:t>
      </w:r>
      <w:r>
        <w:rPr>
          <w:b/>
          <w:color w:val="3D5A80"/>
          <w:sz w:val="18"/>
        </w:rPr>
        <w:t xml:space="preserve">   [ПРИОРИТЕТ 3]</w:t>
      </w:r>
    </w:p>
    <w:p>
      <w:pPr>
        <w:spacing w:before="160" w:after="60"/>
      </w:pPr>
      <w:r>
        <w:rPr>
          <w:b/>
          <w:color w:val="075158"/>
          <w:sz w:val="21"/>
        </w:rPr>
        <w:t>Функциональные требования</w:t>
      </w:r>
    </w:p>
    <w:p>
      <w:pPr>
        <w:pStyle w:val="ListBullet"/>
        <w:spacing w:after="80"/>
      </w:pPr>
      <w:r>
        <w:rPr>
          <w:color w:val="1A2028"/>
          <w:sz w:val="20"/>
        </w:rPr>
        <w:t>Минимальный мобильный клиент (допустимо mobile web, не обязательно нативное приложение) для сотрудника магазина: список устройств своего магазина со статусом, подтверждение работоспособности экрана с фотофиксацией, форма быстрого инцидента.</w:t>
      </w:r>
    </w:p>
    <w:p>
      <w:pPr>
        <w:pStyle w:val="ListBullet"/>
        <w:spacing w:after="80"/>
      </w:pPr>
      <w:r>
        <w:rPr>
          <w:color w:val="1A2028"/>
          <w:sz w:val="20"/>
        </w:rPr>
        <w:t>Аутентификация через существующий пользовательский RBAC-контур, без отдельной системы логинов.</w:t>
      </w:r>
    </w:p>
    <w:p>
      <w:pPr>
        <w:pStyle w:val="ListBullet"/>
        <w:spacing w:after="80"/>
      </w:pPr>
      <w:r>
        <w:rPr>
          <w:color w:val="1A2028"/>
          <w:sz w:val="20"/>
        </w:rPr>
        <w:t>MVP не включает управление контентом, публикацию кампаний или административные функции — только диагностику и подтверждение на месте.</w:t>
      </w:r>
    </w:p>
    <w:p>
      <w:pPr>
        <w:spacing w:before="160" w:after="60"/>
      </w:pPr>
      <w:r>
        <w:rPr>
          <w:b/>
          <w:color w:val="075158"/>
          <w:sz w:val="21"/>
        </w:rPr>
        <w:t>Критерий приёмки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Сотрудник магазина подтверждает статус устройства и заводит инцидент со своего телефона без обращения в ИТ.</w:t>
      </w:r>
    </w:p>
    <w:p>
      <w:pPr>
        <w:spacing w:before="280" w:after="80"/>
      </w:pPr>
      <w:r>
        <w:rPr>
          <w:b/>
          <w:color w:val="1A2028"/>
          <w:sz w:val="25"/>
        </w:rPr>
        <w:t>4.4 A/B-тест — бизнес-метрика победителя</w:t>
      </w:r>
      <w:r>
        <w:rPr>
          <w:b/>
          <w:color w:val="3D5A80"/>
          <w:sz w:val="18"/>
        </w:rPr>
        <w:t xml:space="preserve">   [ПРИОРИТЕТ 3, зависит от §2.1]</w:t>
      </w:r>
    </w:p>
    <w:p>
      <w:pPr>
        <w:spacing w:before="160" w:after="60"/>
      </w:pPr>
      <w:r>
        <w:rPr>
          <w:b/>
          <w:color w:val="075158"/>
          <w:sz w:val="21"/>
        </w:rPr>
        <w:t>Функциональные требования</w:t>
      </w:r>
    </w:p>
    <w:p>
      <w:pPr>
        <w:pStyle w:val="ListBullet"/>
        <w:spacing w:after="80"/>
      </w:pPr>
      <w:r>
        <w:rPr>
          <w:color w:val="1A2028"/>
          <w:sz w:val="20"/>
        </w:rPr>
        <w:t>После появления домена измерения эффективности (§2.1) существующее требование к A/B-тестированию (§6.2 v2.5) должно быть дополнено: метрика победителя должна поддерживать выбор между delivery-метрикой (показы/PoP) и lift-метрикой (прирост продаж), а не быть ограничена только показами.</w:t>
      </w:r>
    </w:p>
    <w:p>
      <w:pPr>
        <w:spacing w:before="160" w:after="60"/>
      </w:pPr>
      <w:r>
        <w:rPr>
          <w:b/>
          <w:color w:val="075158"/>
          <w:sz w:val="21"/>
        </w:rPr>
        <w:t>Критерий приёмки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Пилотный A/B-тест завершается решением на основе lift-метрики там, где доступны данные обеих групп.</w:t>
      </w:r>
    </w:p>
    <w:p>
      <w:pPr>
        <w:spacing w:before="400" w:after="120"/>
        <w:pBdr>
          <w:top w:val="single" w:sz="6" w:space="4" w:color="1A2028"/>
        </w:pBdr>
      </w:pPr>
      <w:r>
        <w:rPr>
          <w:b/>
          <w:color w:val="1A2028"/>
          <w:sz w:val="30"/>
        </w:rPr>
        <w:t>5. Домены разработки — приоритет 4</w:t>
      </w:r>
    </w:p>
    <w:p>
      <w:pPr>
        <w:spacing w:after="200"/>
      </w:pPr>
      <w:r>
        <w:rPr>
          <w:i/>
          <w:color w:val="1A2028"/>
          <w:sz w:val="19"/>
        </w:rPr>
        <w:t>Дизайн-заглушки: явно задокументировать намерение, не реализовывать сейчас.</w:t>
      </w:r>
    </w:p>
    <w:p>
      <w:pPr>
        <w:spacing w:before="280" w:after="80"/>
      </w:pPr>
      <w:r>
        <w:rPr>
          <w:b/>
          <w:color w:val="1A2028"/>
          <w:sz w:val="25"/>
        </w:rPr>
        <w:t>5.1 Стороннее измерение/аккредитация DOOH-аудитории</w:t>
      </w:r>
      <w:r>
        <w:rPr>
          <w:b/>
          <w:color w:val="6D7789"/>
          <w:sz w:val="18"/>
        </w:rPr>
        <w:t xml:space="preserve">   [ПРИОРИТЕТ 4 — дизайн]</w:t>
      </w:r>
    </w:p>
    <w:p>
      <w:pPr>
        <w:spacing w:before="160" w:after="60"/>
      </w:pPr>
      <w:r>
        <w:rPr>
          <w:b/>
          <w:color w:val="075158"/>
          <w:sz w:val="21"/>
        </w:rPr>
        <w:t>Функциональные требования</w:t>
      </w:r>
    </w:p>
    <w:p>
      <w:pPr>
        <w:pStyle w:val="ListBullet"/>
        <w:spacing w:after="80"/>
      </w:pPr>
      <w:r>
        <w:rPr>
          <w:color w:val="1A2028"/>
          <w:sz w:val="20"/>
        </w:rPr>
        <w:t>Явно задокументировать (ADR) архитектурную готовность подключения стороннего измерителя как контракта экспорта PoP/manifest-данных в согласованном формате.</w:t>
      </w:r>
    </w:p>
    <w:p>
      <w:pPr>
        <w:pStyle w:val="ListBullet"/>
        <w:spacing w:after="80"/>
      </w:pPr>
      <w:r>
        <w:rPr>
          <w:color w:val="1A2028"/>
          <w:sz w:val="20"/>
        </w:rPr>
        <w:t>Реализация интеграции с конкретным измерителем — вне рамок этой ветки, выполняется по отдельному решению при появлении рекламодателя/партнёра, требующего аккредитации.</w:t>
      </w:r>
    </w:p>
    <w:p>
      <w:pPr>
        <w:spacing w:before="160" w:after="60"/>
      </w:pPr>
      <w:r>
        <w:rPr>
          <w:b/>
          <w:color w:val="075158"/>
          <w:sz w:val="21"/>
        </w:rPr>
        <w:t>Критерий приёмки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ADR существует и явно помечает пункт как «спроектировано, не реализовано» — в отличие от v2.5, где этот пункт не был упомянут вовсе.</w:t>
      </w:r>
    </w:p>
    <w:p>
      <w:pPr>
        <w:spacing w:before="400" w:after="120"/>
        <w:pBdr>
          <w:top w:val="single" w:sz="6" w:space="4" w:color="1A2028"/>
        </w:pBdr>
      </w:pPr>
      <w:r>
        <w:rPr>
          <w:b/>
          <w:color w:val="1A2028"/>
          <w:sz w:val="30"/>
        </w:rPr>
        <w:t>6. Приоритизация и фазы</w:t>
      </w:r>
    </w:p>
    <w:p>
      <w:pPr>
        <w:spacing w:after="120"/>
      </w:pPr>
      <w:r>
        <w:rPr>
          <w:i w:val="0"/>
          <w:color w:val="1A2028"/>
          <w:sz w:val="20"/>
        </w:rPr>
        <w:t>Рекомендуемая последовательность реализации. Приоритет 0 — предварительное условие для всего остального и должен быть закрыт первым, независимо от порядка разработки самих доменов.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E8EAEE"/>
          </w:tcPr>
          <w:p>
            <w:r/>
            <w:r>
              <w:rPr>
                <w:b/>
                <w:color w:val="1A2028"/>
                <w:sz w:val="19"/>
              </w:rPr>
              <w:t>Приоритет</w:t>
            </w:r>
          </w:p>
        </w:tc>
        <w:tc>
          <w:tcPr>
            <w:tcW w:type="dxa" w:w="3211"/>
            <w:shd w:val="clear" w:color="auto" w:fill="E8EAEE"/>
          </w:tcPr>
          <w:p>
            <w:r/>
            <w:r>
              <w:rPr>
                <w:b/>
                <w:color w:val="1A2028"/>
                <w:sz w:val="19"/>
              </w:rPr>
              <w:t>Домен</w:t>
            </w:r>
          </w:p>
        </w:tc>
        <w:tc>
          <w:tcPr>
            <w:tcW w:type="dxa" w:w="3211"/>
            <w:shd w:val="clear" w:color="auto" w:fill="E8EAEE"/>
          </w:tcPr>
          <w:p>
            <w:r/>
            <w:r>
              <w:rPr>
                <w:b/>
                <w:color w:val="1A2028"/>
                <w:sz w:val="19"/>
              </w:rPr>
              <w:t>Обоснование очерёдности</w:t>
            </w:r>
          </w:p>
        </w:tc>
      </w:tr>
      <w:tr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0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Модель тенантности (§1.1)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Единственное решение, которое дорожает при откладывании</w:t>
            </w:r>
          </w:p>
        </w:tc>
      </w:tr>
      <w:tr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1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Измерение эффективности (§2.1)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Прямое основание премиальной цены инвентаря</w:t>
            </w:r>
          </w:p>
        </w:tc>
      </w:tr>
      <w:tr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1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Self-service кабинет (§2.2)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Снимает операционное узкое место масштабирования</w:t>
            </w:r>
          </w:p>
        </w:tc>
      </w:tr>
      <w:tr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2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Конкурентное разведение (§3.1)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Риск конфликтов с рекламодателями при росте объёма</w:t>
            </w:r>
          </w:p>
        </w:tc>
      </w:tr>
      <w:tr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2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Аудиторный таргетинг (§3.2)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Расширяет монетизацию без риска для приватности</w:t>
            </w:r>
          </w:p>
        </w:tc>
      </w:tr>
      <w:tr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2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Финансовый контракт (§3.3)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Снижает риск расхождения портала и бухгалтерии</w:t>
            </w:r>
          </w:p>
        </w:tc>
      </w:tr>
      <w:tr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3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Программатик — точка расширения (§4.1)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Дизайн дешевле сделать вместе с Inventory Domain</w:t>
            </w:r>
          </w:p>
        </w:tc>
      </w:tr>
      <w:tr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3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Динамический креатив MVP (§4.2)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Дифференциатор, не блокирует пилот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3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Мобильное приложение MVP (§4.3)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Актуально при росте числа магазинов, не для пилота</w:t>
            </w:r>
          </w:p>
        </w:tc>
      </w:tr>
      <w:tr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3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A/B бизнес-метрика (§4.4)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Зависит от §2.1</w:t>
            </w:r>
          </w:p>
        </w:tc>
      </w:tr>
      <w:tr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4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Стороннее измерение — заглушка (§5.1)</w:t>
            </w:r>
          </w:p>
        </w:tc>
        <w:tc>
          <w:tcPr>
            <w:tcW w:type="dxa" w:w="3211"/>
          </w:tcPr>
          <w:p>
            <w:r/>
            <w:r>
              <w:rPr>
                <w:color w:val="1A2028"/>
                <w:sz w:val="19"/>
              </w:rPr>
              <w:t>Реализуется по требованию конкретного клиента</w:t>
            </w:r>
          </w:p>
        </w:tc>
      </w:tr>
    </w:tbl>
    <w:p>
      <w:pPr>
        <w:spacing w:after="120"/>
      </w:pPr>
    </w:p>
    <w:p>
      <w:pPr>
        <w:spacing w:before="400" w:after="120"/>
        <w:pBdr>
          <w:top w:val="single" w:sz="6" w:space="4" w:color="1A2028"/>
        </w:pBdr>
      </w:pPr>
      <w:r>
        <w:rPr>
          <w:b/>
          <w:color w:val="1A2028"/>
          <w:sz w:val="30"/>
        </w:rPr>
        <w:t>7. Общие принципы (наследуются из v2.5)</w:t>
      </w:r>
    </w:p>
    <w:p>
      <w:pPr>
        <w:pStyle w:val="ListBullet"/>
        <w:spacing w:after="80"/>
      </w:pPr>
      <w:r>
        <w:rPr>
          <w:color w:val="1A2028"/>
          <w:sz w:val="20"/>
        </w:rPr>
        <w:t>Все новые сущности следуют тем же принципам версионирования и неизменяемости истории (§22.8 v2.5).</w:t>
      </w:r>
    </w:p>
    <w:p>
      <w:pPr>
        <w:pStyle w:val="ListBullet"/>
        <w:spacing w:after="80"/>
      </w:pPr>
      <w:r>
        <w:rPr>
          <w:color w:val="1A2028"/>
          <w:sz w:val="20"/>
        </w:rPr>
        <w:t>Все новые API проходят через тот же RBAC/RLS-контур без исключений.</w:t>
      </w:r>
    </w:p>
    <w:p>
      <w:pPr>
        <w:pStyle w:val="ListBullet"/>
        <w:spacing w:after="80"/>
      </w:pPr>
      <w:r>
        <w:rPr>
          <w:color w:val="1A2028"/>
          <w:sz w:val="20"/>
        </w:rPr>
        <w:t>Все новые интеграции с внешними системами (финансовая система, измеритель, master-данные) — только через явно определённый, версионируемый контракт данных, не через прямой доступ к БД.</w:t>
      </w:r>
    </w:p>
    <w:p>
      <w:pPr>
        <w:pStyle w:val="ListBullet"/>
        <w:spacing w:after="80"/>
      </w:pPr>
      <w:r>
        <w:rPr>
          <w:color w:val="1A2028"/>
          <w:sz w:val="20"/>
        </w:rPr>
        <w:t>Ни один пункт этой ветки не требует переписывания домена Campaign/Delivery/PoP из v2.5 — только расширения (см. §0.3 и отдельную оценку «рефакторинг vs новая ветка» от 2026-07-11).</w:t>
      </w:r>
    </w:p>
    <w:p>
      <w:pPr>
        <w:pStyle w:val="ListBullet"/>
        <w:spacing w:after="80"/>
      </w:pPr>
      <w:r>
        <w:rPr>
          <w:color w:val="1A2028"/>
          <w:sz w:val="20"/>
        </w:rPr>
        <w:t>Персонализация на уровне конкретного покупателя остаётся вне рамок навсегда, как и в §2.2 v2.5 — весь аудиторный/attribution-функционал в этой ветке проектируется на агрегированном, магазино-уровневом, анонимном контуре.</w:t>
      </w:r>
    </w:p>
    <w:p>
      <w:pPr>
        <w:spacing w:before="400" w:after="120"/>
        <w:pBdr>
          <w:top w:val="single" w:sz="6" w:space="4" w:color="1A2028"/>
        </w:pBdr>
      </w:pPr>
      <w:r>
        <w:rPr>
          <w:b/>
          <w:color w:val="1A2028"/>
          <w:sz w:val="30"/>
        </w:rPr>
        <w:t>8. Критерии приёмки ветки в целом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ADR о модели тенантности принят до начала работ по §2–§6.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Домены приоритета 1 (§2.1, §2.2) реализованы и приняты по своим критериям.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Ни одно изменение не потребовало модификации существующей схемы Campaign/Delivery/PoP за пределами точечных исключений, явно отмеченных в §3.1 (delivery/priority engine).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Все новые интеграции задокументированы отдельными ADR по аналогии с ADR-001…017 v2.5.</w:t>
      </w:r>
    </w:p>
    <w:p>
      <w:pPr>
        <w:spacing w:after="80"/>
      </w:pPr>
      <w:r>
        <w:rPr>
          <w:sz w:val="20"/>
        </w:rPr>
        <w:t xml:space="preserve">☐  </w:t>
      </w:r>
      <w:r>
        <w:rPr>
          <w:color w:val="1A2028"/>
          <w:sz w:val="20"/>
        </w:rPr>
        <w:t>Трекер стабилизации проекта обновлён: пункты приоритета 3–4 явно отмечены как спроектированные/отложенные, а не отсутствуют без объяснения.</w:t>
      </w:r>
    </w:p>
    <w:p/>
    <w:p>
      <w:r>
        <w:rPr>
          <w:i/>
          <w:color w:val="6B7480"/>
          <w:sz w:val="17"/>
        </w:rPr>
        <w:t>Документ подготовлен как техническое задание для передачи в разработку (в т.ч. AI-агенту Hermes, по аналогии с назначением v2.5) — не как рекомендательная записка. Формулировки требований написаны в нормативном стиле («система должна») намеренно, для прямой трассируемости на реализацию и приёмку.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