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PawPortion Hazard Considerations</w:t>
      </w:r>
    </w:p>
    <w:p>
      <w:pPr/>
      <w:r>
        <w:t>This document describes hazards associated with preparing a pet meal using the PawPortion Android app and scale. Each hazard identifies a possible failure and consequence, with references to the relevant user requirements and acceptance criteria in PP-URS-001, revision 1.0, 20 October 2026.</w:t>
      </w:r>
    </w:p>
    <w:p>
      <w:pPr>
        <w:pStyle w:val="Heading1"/>
      </w:pPr>
      <w:r>
        <w:t>Hazard considerations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6192"/>
      </w:tblGrid>
      <w:tr>
        <w:trPr>
          <w:cantSplit/>
          <w:tblHeader/>
        </w:trPr>
        <w:tc>
          <w:tcPr>
            <w:tcW w:type="dxa" w:w="151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ID</w:t>
            </w:r>
          </w:p>
        </w:tc>
        <w:tc>
          <w:tcPr>
            <w:tcW w:type="dxa" w:w="2376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Item</w:t>
            </w:r>
          </w:p>
        </w:tc>
        <w:tc>
          <w:tcPr>
            <w:tcW w:type="dxa" w:w="619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Hazard consideration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H-01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Bluetooth loss or stale data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The owner trusts an old weight during a connection interruption and prepares an incorrect portion.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/>
                <w:color w:val="000000"/>
                <w:sz w:val="21"/>
              </w:rPr>
              <w:t xml:space="preserve">UR-009</w:t>
              <w:br/>
              <w:t xml:space="preserve">UR-013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Existing coverage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Disconnected, invalid or unavailable readings are not presented as live. Finish stays unavailable until a fresh valid stable weight is available after reconnect. AC-009.3–AC-009.5; AC-013.3–AC-013.5.</w:t>
            </w:r>
          </w:p>
        </w:tc>
      </w:tr>
    </w:tbl>
    <w:p>
      <w:pPr/>
      <w: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6192"/>
      </w:tblGrid>
      <w:tr>
        <w:trPr>
          <w:cantSplit/>
          <w:tblHeader/>
        </w:trPr>
        <w:tc>
          <w:tcPr>
            <w:tcW w:type="dxa" w:w="151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ID</w:t>
            </w:r>
          </w:p>
        </w:tc>
        <w:tc>
          <w:tcPr>
            <w:tcW w:type="dxa" w:w="2376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Item</w:t>
            </w:r>
          </w:p>
        </w:tc>
        <w:tc>
          <w:tcPr>
            <w:tcW w:type="dxa" w:w="619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Hazard consideration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H-02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Invalid or unstable measurement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A faulty or moving measurement is treated as successful tare or final weight, resulting in an incorrect portion.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/>
                <w:color w:val="000000"/>
                <w:sz w:val="21"/>
              </w:rPr>
              <w:t xml:space="preserve">UR-008</w:t>
              <w:br/>
              <w:t xml:space="preserve">UR-011</w:t>
              <w:br/>
              <w:t xml:space="preserve">UR-015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Existing coverage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Stable tare is confirmed before Add Food. Final capture requires a valid stable weight. Problems are distinguished from portion status and do not appear as success. AC-008.1–AC-008.4; AC-011.1; AC-015.1–AC-015.2.</w:t>
            </w:r>
          </w:p>
        </w:tc>
      </w:tr>
    </w:tbl>
    <w:p>
      <w:pPr/>
      <w: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6192"/>
      </w:tblGrid>
      <w:tr>
        <w:trPr>
          <w:cantSplit/>
          <w:tblHeader/>
        </w:trPr>
        <w:tc>
          <w:tcPr>
            <w:tcW w:type="dxa" w:w="151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ID</w:t>
            </w:r>
          </w:p>
        </w:tc>
        <w:tc>
          <w:tcPr>
            <w:tcW w:type="dxa" w:w="2376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Item</w:t>
            </w:r>
          </w:p>
        </w:tc>
        <w:tc>
          <w:tcPr>
            <w:tcW w:type="dxa" w:w="619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Hazard consideration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H-03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Incorrect bowl reference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An old or incorrect bowl reference makes the displayed food weight include or omit part of the load.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/>
                <w:color w:val="000000"/>
                <w:sz w:val="21"/>
              </w:rPr>
              <w:t xml:space="preserve">UR-007</w:t>
              <w:br/>
              <w:t xml:space="preserve">UR-009</w:t>
              <w:br/>
              <w:t xml:space="preserve">UR-017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Existing coverage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Setup captures an unloaded reference. Every meal requires fresh tare. Displayed food weight excludes that meal’s bowl reference. AC-007.1–AC-007.2; AC-009.1; AC-017.1–AC-017.2.</w:t>
            </w:r>
          </w:p>
        </w:tc>
      </w:tr>
    </w:tbl>
    <w:p>
      <w:pPr/>
      <w:r>
        <w:t xml:space="preserve"/>
      </w:r>
    </w:p>
    <w:p>
      <w:pPr>
        <w:pStyle w:val="Heading2"/>
        <w:pageBreakBefore/>
      </w:pPr>
      <w:r>
        <w:t xml:space="preserve">Hazard considerations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6192"/>
      </w:tblGrid>
      <w:tr>
        <w:trPr>
          <w:cantSplit/>
          <w:tblHeader/>
        </w:trPr>
        <w:tc>
          <w:tcPr>
            <w:tcW w:type="dxa" w:w="151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ID</w:t>
            </w:r>
          </w:p>
        </w:tc>
        <w:tc>
          <w:tcPr>
            <w:tcW w:type="dxa" w:w="2376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Item</w:t>
            </w:r>
          </w:p>
        </w:tc>
        <w:tc>
          <w:tcPr>
            <w:tcW w:type="dxa" w:w="619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Hazard consideration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H-04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Wrong or unconfirmed settings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A per-meal target is misunderstood, or an unsuccessful save is treated as accepted, leading to an unintended portion.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/>
                <w:color w:val="000000"/>
                <w:sz w:val="21"/>
              </w:rPr>
              <w:t xml:space="preserve">UR-004</w:t>
              <w:br/>
              <w:t xml:space="preserve">UR-005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Existing coverage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The owner supplies the per-meal target with the specified guidance. Start Meal waits for confirmed saved target and tolerance; failed saves retain entries and offer Retry. Accepted settings persist. AC-004.4; AC-004.6–AC-004.9; AC-005.1–AC-005.3.</w:t>
            </w:r>
          </w:p>
        </w:tc>
      </w:tr>
    </w:tbl>
    <w:p>
      <w:pPr/>
      <w: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6192"/>
      </w:tblGrid>
      <w:tr>
        <w:trPr>
          <w:cantSplit/>
          <w:tblHeader/>
        </w:trPr>
        <w:tc>
          <w:tcPr>
            <w:tcW w:type="dxa" w:w="151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ID</w:t>
            </w:r>
          </w:p>
        </w:tc>
        <w:tc>
          <w:tcPr>
            <w:tcW w:type="dxa" w:w="2376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Item</w:t>
            </w:r>
          </w:p>
        </w:tc>
        <w:tc>
          <w:tcPr>
            <w:tcW w:type="dxa" w:w="619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Hazard consideration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H-05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Wrong scale selected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The owner selects another nearby scale and relies on measurements from the wrong weighing surface.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/>
                <w:color w:val="000000"/>
                <w:sz w:val="21"/>
              </w:rPr>
              <w:t xml:space="preserve">UR-001</w:t>
              <w:br/>
              <w:t xml:space="preserve">UR-002</w:t>
              <w:br/>
              <w:t xml:space="preserve">UR-003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Existing coverage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Setup identifies devices by name or suffix and allows selection. The selected scale is remembered; the owner can explicitly forget or change it. AC-001.1–AC-001.3; AC-002.2; AC-003.2–AC-003.3.</w:t>
            </w:r>
          </w:p>
        </w:tc>
      </w:tr>
    </w:tbl>
    <w:p>
      <w:pPr/>
      <w: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6192"/>
      </w:tblGrid>
      <w:tr>
        <w:trPr>
          <w:cantSplit/>
          <w:tblHeader/>
        </w:trPr>
        <w:tc>
          <w:tcPr>
            <w:tcW w:type="dxa" w:w="151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ID</w:t>
            </w:r>
          </w:p>
        </w:tc>
        <w:tc>
          <w:tcPr>
            <w:tcW w:type="dxa" w:w="2376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Item</w:t>
            </w:r>
          </w:p>
        </w:tc>
        <w:tc>
          <w:tcPr>
            <w:tcW w:type="dxa" w:w="619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Hazard consideration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H-06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Misleading portion indication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Units, sign, rounding or range feedback mislead the owner into preparing or accepting an unintended portion.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/>
                <w:color w:val="000000"/>
                <w:sz w:val="21"/>
              </w:rPr>
              <w:t xml:space="preserve">UR-010</w:t>
              <w:br/>
              <w:t xml:space="preserve">UR-011</w:t>
              <w:br/>
              <w:t xml:space="preserve">UR-016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Existing coverage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Weights use labeled grams and two decimals; sign and comparisons are preserved. Text accompanies color. Outside-range completion requires a warning and Save Anyway. AC-010.1–AC-010.4; AC-011.3–AC-011.5; AC-016.5–AC-016.10.</w:t>
            </w:r>
          </w:p>
        </w:tc>
      </w:tr>
    </w:tbl>
    <w:p>
      <w:pPr/>
      <w: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76"/>
        <w:gridCol w:w="6192"/>
      </w:tblGrid>
      <w:tr>
        <w:trPr>
          <w:cantSplit/>
          <w:tblHeader/>
        </w:trPr>
        <w:tc>
          <w:tcPr>
            <w:tcW w:type="dxa" w:w="151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ID</w:t>
            </w:r>
          </w:p>
        </w:tc>
        <w:tc>
          <w:tcPr>
            <w:tcW w:type="dxa" w:w="2376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Item</w:t>
            </w:r>
          </w:p>
        </w:tc>
        <w:tc>
          <w:tcPr>
            <w:tcW w:type="dxa" w:w="6192"/>
            <w:vAlign w:val="center"/>
            <w:shd w:fill="EEDAFB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000000"/>
                <w:sz w:val="21"/>
              </w:rPr>
              <w:t xml:space="preserve">Hazard consideration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H-07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Bowl removal during a meal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  <w:keepNext/>
            </w:pPr>
            <w:r>
              <w:rPr>
                <w:b/>
                <w:color w:val="260238"/>
                <w:sz w:val="21"/>
              </w:rPr>
              <w:t xml:space="preserve">Continuing after the bowl is removed or replaced can make the existing tare inappropriate for the portion.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/>
                <w:color w:val="000000"/>
                <w:sz w:val="21"/>
              </w:rPr>
              <w:t xml:space="preserve">UR-019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Existing coverage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line="247" w:lineRule="auto" w:after="60"/>
            </w:pPr>
            <w:r>
              <w:rPr>
                <w:b w:val="0"/>
                <w:color w:val="000000"/>
                <w:sz w:val="21"/>
              </w:rPr>
              <w:t xml:space="preserve">Bowl Placed arms detection. Valid readings within ±0.5 g of the unloaded reference continuously for more than three seconds trigger removal; preparation restarts with a fresh meal and tare. AC-019.1–AC-019.3.</w:t>
            </w:r>
          </w:p>
        </w:tc>
      </w:tr>
    </w:tbl>
    <w:p>
      <w:pPr/>
      <w:r>
        <w:t xml:space="preserv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PawPortion  •  20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PawPortion  |  Hazard considerations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6023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602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60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26023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60238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26023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26023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60238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after="120"/>
    </w:pPr>
    <w:rPr>
      <w:rFonts w:asciiTheme="majorHAnsi" w:eastAsiaTheme="majorEastAsia" w:hAnsiTheme="majorHAnsi" w:cstheme="majorBidi" w:ascii="Calibri" w:hAnsi="Calibri"/>
      <w:i/>
      <w:iCs/>
      <w:color w:val="26023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260238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PawPortion User Requirements Specification</dc:title>
  <dc:subject>Review draft separating user workflows, requirements, acceptance criteria and decisions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