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Cross-Venue Price Discovery — Proposal v3</w:t>
      </w:r>
    </w:p>
    <w:p>
      <w:pPr/>
      <w:r>
        <w:t xml:space="preserve">Oct 17, 2026</w:t>
      </w:r>
      <w:r>
        <w:t xml:space="preserve"> · </w:t>
      </w:r>
      <w:r>
        <w:t xml:space="preserve">@John</w:t>
      </w:r>
    </w:p>
    <w:p>
      <w:pPr/>
      <w:r>
        <w:t xml:space="preserve">QF603 Quantitative Analysis of Financial Markets · SMU MQF</w:t>
      </w:r>
    </w:p>
    <w:p>
      <w:pPr/>
      <w:r>
        <w:rPr>
          <w:i/>
        </w:rPr>
        <w:t xml:space="preserve">Third draft. Keeps the data pipeline from v2 and turns it from within-venue coherence to the same event priced on two venues. A worked Fed-decision example is on the second page.</w:t>
      </w:r>
    </w:p>
    <w:p>
      <w:pPr/>
      <w:r>
        <w:t xml:space="preserve">Worked example of every test on one Fed meeting: </w:t>
      </w:r>
      <w:r>
        <w:t xml:space="preserve">Worked example: Sept 2024 FOMC</w:t>
      </w:r>
    </w:p>
    <w:p>
      <w:pPr>
        <w:pStyle w:val="Heading2"/>
      </w:pPr>
      <w:r>
        <w:t xml:space="preserve">Executive Summary</w:t>
      </w:r>
    </w:p>
    <w:p>
      <w:pPr/>
      <w:r>
        <w:t xml:space="preserve">This project tests whether the same event, traded at the same time on two prediction markets, has the same price. It also tests which venue moves first when the two disagree. It does not test whether prices are accurate forecasts. A 2026 NBER paper has answered that for Fed decisions, and we use its result as background, not as our finding.</w:t>
      </w:r>
    </w:p>
    <w:p>
      <w:pPr/>
      <w:r>
        <w:t xml:space="preserve">Kalshi and Polymarket both list a contract on every FOMC decision. Each pays $1 if the Fed makes a given move. Kalshi is a CFTC-regulated US exchange settled in dollars. Polymarket is an on-chain venue settled in stablecoins, and had about 20 times Kalshi's volume on 2026 Fed markets. Same payoff, different rules and different traders.</w:t>
      </w:r>
    </w:p>
    <w:p>
      <w:pPr/>
      <w:r>
        <w:t xml:space="preserve">Two testable consequences follow. First, the law of one price says the two prices should be equal up to trading costs. Any larger gap is an arbitrage. Second, the two prices must share one long-run equilibrium, so they are cointegrated with a vector of (1, −1) known in advance. The error-correction model then shows which venue does the adjusting when they drift apart. The venue that does not adjust is the price leader.</w:t>
      </w:r>
    </w:p>
    <w:p>
      <w:pPr/>
      <w:r>
        <w:t xml:space="preserve">The cointegrating relationship comes from the contract terms, not from estimation. That avoids the usual S7 failure mode, where a high R² and a significant coefficient are mistaken for cointegration when the residual is not stationary.</w:t>
      </w:r>
    </w:p>
    <w:p>
      <w:pPr/>
      <w:r>
        <w:t xml:space="preserve">A final stage asks whether being first also means being right. When the venues disagree, we test which price is closer to the actual outcome. This separates a fast venue from a well-informed one, which the 2026 studies we found do not do.</w:t>
      </w:r>
    </w:p>
    <w:p>
      <w:pPr>
        <w:pStyle w:val="Heading2"/>
      </w:pPr>
      <w:r>
        <w:t xml:space="preserve">What the 2026 literature already establishes</w:t>
      </w:r>
    </w:p>
    <w:p>
      <w:pPr/>
      <w:r>
        <w:t xml:space="preserve">Accuracy of prediction markets on Fed decisions is measured and published. Which venue leads, and whether the cross-venue gap carries information, is not.</w:t>
      </w:r>
    </w:p>
    <w:tbl>
      <w:tblPr>
        <w:tblStyle w:val="TableGrid"/>
        <w:tblW w:w="0" w:type="auto"/>
        <w:tblLayout w:type="fixed"/>
        <w:tblLook w:val="04A0" w:firstRow="1" w:lastRow="0" w:firstColumn="0" w:lastColumn="0" w:noHBand="0" w:noVBand="1"/>
      </w:tblPr>
      <w:tblGrid>
        <w:gridCol w:w="1770"/>
        <w:gridCol w:w="1794"/>
        <w:gridCol w:w="2083"/>
        <w:gridCol w:w="3713"/>
      </w:tblGrid>
      <w:tr>
        <w:trPr>
          <w:tblHeader/>
        </w:trPr>
        <w:tc>
          <w:tcPr>
            <w:tcW w:w="1770" w:type="dxa"/>
            <w:shd w:val="clear" w:color="auto" w:fill="F2F2F2"/>
          </w:tcPr>
          <w:p>
            <w:pPr/>
            <w:r>
              <w:t xml:space="preserve">Work</w:t>
            </w:r>
          </w:p>
        </w:tc>
        <w:tc>
          <w:tcPr>
            <w:tcW w:w="1794" w:type="dxa"/>
            <w:shd w:val="clear" w:color="auto" w:fill="F2F2F2"/>
          </w:tcPr>
          <w:p>
            <w:pPr/>
            <w:r>
              <w:t xml:space="preserve">Data</w:t>
            </w:r>
          </w:p>
        </w:tc>
        <w:tc>
          <w:tcPr>
            <w:tcW w:w="2083" w:type="dxa"/>
            <w:shd w:val="clear" w:color="auto" w:fill="F2F2F2"/>
          </w:tcPr>
          <w:p>
            <w:pPr/>
            <w:r>
              <w:t xml:space="preserve">Method</w:t>
            </w:r>
          </w:p>
        </w:tc>
        <w:tc>
          <w:tcPr>
            <w:tcW w:w="3713" w:type="dxa"/>
            <w:shd w:val="clear" w:color="auto" w:fill="F2F2F2"/>
          </w:tcPr>
          <w:p>
            <w:pPr/>
            <w:r>
              <w:t xml:space="preserve">Headline result</w:t>
            </w:r>
          </w:p>
        </w:tc>
      </w:tr>
      <w:tr>
        <w:tc>
          <w:tcPr>
            <w:tcW w:w="1770" w:type="dxa"/>
          </w:tcPr>
          <w:p>
            <w:pPr/>
            <w:r>
              <w:t xml:space="preserve">Diercks, Katz &amp; Wright, NBER w34702 (Jan 2026), via </w:t>
            </w:r>
            <w:hyperlink r:id="rId3" w:history="1">
              <w:r>
                <w:rPr>
                  <w:rStyle w:val="Hyperlink"/>
                </w:rPr>
                <w:t xml:space="preserve">Fortune</w:t>
              </w:r>
            </w:hyperlink>
          </w:p>
        </w:tc>
        <w:tc>
          <w:tcPr>
            <w:tcW w:w="1794" w:type="dxa"/>
          </w:tcPr>
          <w:p>
            <w:pPr/>
            <w:r>
              <w:t xml:space="preserve">Kalshi FOMC, CPI and jobs markets from 2022</w:t>
            </w:r>
          </w:p>
        </w:tc>
        <w:tc>
          <w:tcPr>
            <w:tcW w:w="2083" w:type="dxa"/>
          </w:tcPr>
          <w:p>
            <w:pPr/>
            <w:r>
              <w:t xml:space="preserve">Day-before forecasts against fed funds futures, the NY Fed dealer survey and Bloomberg consensus</w:t>
            </w:r>
          </w:p>
        </w:tc>
        <w:tc>
          <w:tcPr>
            <w:tcW w:w="3713" w:type="dxa"/>
          </w:tcPr>
          <w:p>
            <w:pPr/>
            <w:r>
              <w:t xml:space="preserve">Kalshi's median and mode forecasts were right at every meeting in the sample. That is a statistically significant improvement on fed funds futures</w:t>
            </w:r>
          </w:p>
        </w:tc>
      </w:tr>
      <w:tr>
        <w:tc>
          <w:tcPr>
            <w:tcW w:w="1770" w:type="dxa"/>
          </w:tcPr>
          <w:p>
            <w:pPr/>
            <w:hyperlink r:id="rId4" w:history="1">
              <w:r>
                <w:rPr>
                  <w:rStyle w:val="Hyperlink"/>
                </w:rPr>
                <w:t xml:space="preserve">Pricing the Fed</w:t>
              </w:r>
            </w:hyperlink>
            <w:r>
              <w:t xml:space="preserve">, Dune (May 2026)</w:t>
            </w:r>
          </w:p>
        </w:tc>
        <w:tc>
          <w:tcPr>
            <w:tcW w:w="1794" w:type="dxa"/>
          </w:tcPr>
          <w:p>
            <w:pPr/>
            <w:r>
              <w:t xml:space="preserve">Kalshi, Polymarket and CME FedWatch, Jan, Mar and Apr 2026 meetings, hourly</w:t>
            </w:r>
          </w:p>
        </w:tc>
        <w:tc>
          <w:tcPr>
            <w:tcW w:w="2083" w:type="dxa"/>
          </w:tcPr>
          <w:p>
            <w:pPr/>
            <w:r>
              <w:t xml:space="preserve">Visual comparison of daily and hourly price paths</w:t>
            </w:r>
          </w:p>
        </w:tc>
        <w:tc>
          <w:tcPr>
            <w:tcW w:w="3713" w:type="dxa"/>
          </w:tcPr>
          <w:p>
            <w:pPr/>
            <w:r>
              <w:t xml:space="preserve">Kalshi and Polymarket average about 1¢ apart and the sign of the gap flips. Both sat 5–20¢ above FedWatch months out, then converged within 1¢ the day before</w:t>
            </w:r>
          </w:p>
        </w:tc>
      </w:tr>
      <w:tr>
        <w:tc>
          <w:tcPr>
            <w:tcW w:w="1770" w:type="dxa"/>
          </w:tcPr>
          <w:p>
            <w:pPr/>
            <w:r>
              <w:t xml:space="preserve">Favourite-longshot papers (Polymarket, Kalshi), cited in v2</w:t>
            </w:r>
          </w:p>
        </w:tc>
        <w:tc>
          <w:tcPr>
            <w:tcW w:w="1794" w:type="dxa"/>
          </w:tcPr>
          <w:p>
            <w:pPr/>
            <w:r>
              <w:t xml:space="preserve">Hundreds of millions of trades</w:t>
            </w:r>
          </w:p>
        </w:tc>
        <w:tc>
          <w:tcPr>
            <w:tcW w:w="2083" w:type="dxa"/>
          </w:tcPr>
          <w:p>
            <w:pPr/>
            <w:r>
              <w:t xml:space="preserve">Returns by price bucket, recalibration</w:t>
            </w:r>
          </w:p>
        </w:tc>
        <w:tc>
          <w:tcPr>
            <w:tcW w:w="3713" w:type="dxa"/>
          </w:tcPr>
          <w:p>
            <w:pPr/>
            <w:r>
              <w:t xml:space="preserve">Calibration is settled on both venues</w:t>
            </w:r>
          </w:p>
        </w:tc>
      </w:tr>
    </w:tbl>
    <w:p>
      <w:pPr/>
      <w:r>
        <w:t xml:space="preserve">Three consequences for our design.</w:t>
      </w:r>
    </w:p>
    <w:p>
      <w:pPr>
        <w:pStyle w:val="ListParagraph"/>
        <w:numPr>
          <w:ilvl w:val="0"/>
          <w:numId w:val="2"/>
        </w:numPr>
      </w:pPr>
      <w:r>
        <w:rPr>
          <w:b/>
        </w:rPr>
        <w:t xml:space="preserve">Accuracy is background, not the contribution.</w:t>
      </w:r>
      <w:r>
        <w:t xml:space="preserve"> We do not claim to show that prediction markets forecast the Fed well.</w:t>
      </w:r>
    </w:p>
    <w:p>
      <w:pPr>
        <w:pStyle w:val="ListParagraph"/>
        <w:numPr>
          <w:ilvl w:val="0"/>
          <w:numId w:val="2"/>
        </w:numPr>
      </w:pPr>
      <w:r>
        <w:rPr>
          <w:b/>
        </w:rPr>
        <w:t xml:space="preserve">Dune leaves two questions open.</w:t>
      </w:r>
      <w:r>
        <w:t xml:space="preserve"> It does not test which venue leads. It also says it remains to be seen whether the remaining gap carries useful information. Those are our Stages 2 and 4.</w:t>
      </w:r>
    </w:p>
    <w:p>
      <w:pPr>
        <w:pStyle w:val="ListParagraph"/>
        <w:numPr>
          <w:ilvl w:val="0"/>
          <w:numId w:val="2"/>
        </w:numPr>
      </w:pPr>
      <w:r>
        <w:rPr>
          <w:b/>
        </w:rPr>
        <w:t xml:space="preserve">FedWatch is not a like-for-like comparison.</w:t>
      </w:r>
      <w:r>
        <w:t xml:space="preserve"> It prices the rate after a meeting across all paths, not the decision at one meeting. That is why the core test is Kalshi against Polymarket, and FedWatch is a stretch goal.</w:t>
      </w:r>
    </w:p>
    <w:p>
      <w:pPr>
        <w:pStyle w:val="Heading2"/>
      </w:pPr>
      <w:r>
        <w:t xml:space="preserve">Research question and contribution</w:t>
      </w:r>
    </w:p>
    <w:p>
      <w:pPr/>
      <w:r>
        <w:rPr>
          <w:b/>
        </w:rPr>
        <w:t xml:space="preserve">When the same event trades on two venues, do the prices obey the law of one price, which venue absorbs news first, and is the leader also the better forecaster?</w:t>
      </w:r>
    </w:p>
    <w:p>
      <w:pPr/>
      <w:r>
        <w:t xml:space="preserve">This is a different question from accuracy. Accuracy compares one price with the outcome and needs resolved events. Price discovery compares two prices with each other, hour by hour, and needs no resolution. Every hour of a matched pair is a usable observation for Stages 1 to 3.</w:t>
      </w:r>
    </w:p>
    <w:p>
      <w:pPr/>
      <w:r>
        <w:t xml:space="preserve">Four components, none of which appears in the work above.</w:t>
      </w:r>
    </w:p>
    <w:p>
      <w:pPr>
        <w:pStyle w:val="ListParagraph"/>
        <w:numPr>
          <w:ilvl w:val="0"/>
          <w:numId w:val="3"/>
        </w:numPr>
      </w:pPr>
      <w:r>
        <w:rPr>
          <w:b/>
        </w:rPr>
        <w:t xml:space="preserve">Law of one price.</w:t>
      </w:r>
      <w:r>
        <w:t xml:space="preserve"> For each matched pair, measure the spread in cents and in log-odds. Test whether it is zero on average, and how often it is wider than fees plus half the bid-ask spread on each side. That share of hours is the tradeable arbitrage.</w:t>
      </w:r>
    </w:p>
    <w:p>
      <w:pPr>
        <w:pStyle w:val="ListParagraph"/>
        <w:numPr>
          <w:ilvl w:val="0"/>
          <w:numId w:val="3"/>
        </w:numPr>
      </w:pPr>
      <w:r>
        <w:rPr>
          <w:b/>
        </w:rPr>
        <w:t xml:space="preserve">Price discovery.</w:t>
      </w:r>
      <w:r>
        <w:t xml:space="preserve"> The two prices are cointegrated with a vector of (1, −1) fixed by the contract terms. Estimate a VECM per pair. The error-correction speeds show which venue adjusts, and give each venue's share of price discovery.</w:t>
      </w:r>
    </w:p>
    <w:p>
      <w:pPr>
        <w:pStyle w:val="ListParagraph"/>
        <w:numPr>
          <w:ilvl w:val="0"/>
          <w:numId w:val="3"/>
        </w:numPr>
      </w:pPr>
      <w:r>
        <w:rPr>
          <w:b/>
        </w:rPr>
        <w:t xml:space="preserve">Reaction to scheduled news.</w:t>
      </w:r>
      <w:r>
        <w:t xml:space="preserve"> Around CPI and payrolls releases, measure how many minutes each venue takes to complete 90% of its move. Compare each venue's move with the Bayes-implied posterior to check for under- or over-reaction.</w:t>
      </w:r>
    </w:p>
    <w:p>
      <w:pPr>
        <w:pStyle w:val="ListParagraph"/>
        <w:numPr>
          <w:ilvl w:val="0"/>
          <w:numId w:val="3"/>
        </w:numPr>
      </w:pPr>
      <w:r>
        <w:rPr>
          <w:b/>
        </w:rPr>
        <w:t xml:space="preserve">Forecast value of the gap.</w:t>
      </w:r>
      <w:r>
        <w:t xml:space="preserve"> When the venues disagree, regress the outcome on both prices in one logit. If one coefficient goes to zero, the other venue holds all the information.</w:t>
      </w:r>
    </w:p>
    <w:p>
      <w:pPr/>
      <w:r>
        <w:t xml:space="preserve">Component 2 is the strongest claim to originality, and the one we would defend in Q&amp;A. Component 4 links it back to economics: a venue that leads but does not forecast better is fast, not informed.</w:t>
      </w:r>
    </w:p>
    <w:p>
      <w:pPr>
        <w:pStyle w:val="Heading2"/>
      </w:pPr>
      <w:r>
        <w:t xml:space="preserve">Data and universe</w:t>
      </w:r>
    </w:p>
    <w:p>
      <w:pPr/>
      <w:r>
        <w:t xml:space="preserve">We pull a defined universe through the public APIs, as in v2, and do not download a bulk archive.</w:t>
      </w:r>
    </w:p>
    <w:tbl>
      <w:tblPr>
        <w:tblStyle w:val="TableGrid"/>
        <w:tblW w:w="0" w:type="auto"/>
        <w:tblLayout w:type="fixed"/>
        <w:tblLook w:val="04A0" w:firstRow="1" w:lastRow="0" w:firstColumn="0" w:lastColumn="0" w:noHBand="0" w:noVBand="1"/>
      </w:tblPr>
      <w:tblGrid>
        <w:gridCol w:w="2079"/>
        <w:gridCol w:w="2595"/>
        <w:gridCol w:w="1792"/>
        <w:gridCol w:w="2894"/>
      </w:tblGrid>
      <w:tr>
        <w:trPr>
          <w:tblHeader/>
        </w:trPr>
        <w:tc>
          <w:tcPr>
            <w:tcW w:w="2079" w:type="dxa"/>
            <w:shd w:val="clear" w:color="auto" w:fill="F2F2F2"/>
          </w:tcPr>
          <w:p>
            <w:pPr/>
            <w:r>
              <w:t xml:space="preserve">Source</w:t>
            </w:r>
          </w:p>
        </w:tc>
        <w:tc>
          <w:tcPr>
            <w:tcW w:w="2595" w:type="dxa"/>
            <w:shd w:val="clear" w:color="auto" w:fill="F2F2F2"/>
          </w:tcPr>
          <w:p>
            <w:pPr/>
            <w:r>
              <w:t xml:space="preserve">Access</w:t>
            </w:r>
          </w:p>
        </w:tc>
        <w:tc>
          <w:tcPr>
            <w:tcW w:w="1792" w:type="dxa"/>
            <w:shd w:val="clear" w:color="auto" w:fill="F2F2F2"/>
          </w:tcPr>
          <w:p>
            <w:pPr/>
            <w:r>
              <w:t xml:space="preserve">Verified</w:t>
            </w:r>
          </w:p>
        </w:tc>
        <w:tc>
          <w:tcPr>
            <w:tcW w:w="2894" w:type="dxa"/>
            <w:shd w:val="clear" w:color="auto" w:fill="F2F2F2"/>
          </w:tcPr>
          <w:p>
            <w:pPr/>
            <w:r>
              <w:t xml:space="preserve">Used for</w:t>
            </w:r>
          </w:p>
        </w:tc>
      </w:tr>
      <w:tr>
        <w:tc>
          <w:tcPr>
            <w:tcW w:w="2079" w:type="dxa"/>
          </w:tcPr>
          <w:p>
            <w:pPr/>
            <w:hyperlink r:id="rId5" w:history="1">
              <w:r>
                <w:rPr>
                  <w:rStyle w:val="Hyperlink"/>
                </w:rPr>
                <w:t xml:space="preserve">Polymarket CLOB </w:t>
              </w:r>
            </w:hyperlink>
            <w:hyperlink r:id="rId5" w:history="1">
              <w:r>
                <w:rPr>
                  <w:rStyle w:val="CodeChar"/>
                </w:rPr>
                <w:t xml:space="preserve">/prices-history</w:t>
              </w:r>
            </w:hyperlink>
          </w:p>
        </w:tc>
        <w:tc>
          <w:tcPr>
            <w:tcW w:w="2595" w:type="dxa"/>
          </w:tcPr>
          <w:p>
            <w:pPr/>
            <w:r>
              <w:t xml:space="preserve">Free and keyless. </w:t>
            </w:r>
            <w:r>
              <w:rPr>
                <w:rStyle w:val="CodeChar"/>
              </w:rPr>
              <w:t xml:space="preserve">startTs</w:t>
            </w:r>
            <w:r>
              <w:t xml:space="preserve">/</w:t>
            </w:r>
            <w:r>
              <w:rPr>
                <w:rStyle w:val="CodeChar"/>
              </w:rPr>
              <w:t xml:space="preserve">endTs</w:t>
            </w:r>
            <w:r>
              <w:t xml:space="preserve">, </w:t>
            </w:r>
            <w:r>
              <w:rPr>
                <w:rStyle w:val="CodeChar"/>
              </w:rPr>
              <w:t xml:space="preserve">fidelity</w:t>
            </w:r>
            <w:r>
              <w:t xml:space="preserve"> in minutes</w:t>
            </w:r>
          </w:p>
        </w:tc>
        <w:tc>
          <w:tcPr>
            <w:tcW w:w="1792" w:type="dxa"/>
          </w:tcPr>
          <w:p>
            <w:pPr/>
            <w:r>
              <w:t xml:space="preserve">Confirmed in docs</w:t>
            </w:r>
          </w:p>
        </w:tc>
        <w:tc>
          <w:tcPr>
            <w:tcW w:w="2894" w:type="dxa"/>
          </w:tcPr>
          <w:p>
            <w:pPr/>
            <w:r>
              <w:t xml:space="preserve">Hourly and minute price paths</w:t>
            </w:r>
          </w:p>
        </w:tc>
      </w:tr>
      <w:tr>
        <w:tc>
          <w:tcPr>
            <w:tcW w:w="2079" w:type="dxa"/>
          </w:tcPr>
          <w:p>
            <w:pPr/>
            <w:r>
              <w:t xml:space="preserve">Polymarket Gamma API</w:t>
            </w:r>
          </w:p>
        </w:tc>
        <w:tc>
          <w:tcPr>
            <w:tcW w:w="2595" w:type="dxa"/>
          </w:tcPr>
          <w:p>
            <w:pPr/>
            <w:r>
              <w:t xml:space="preserve">Public. Events, markets, resolution text</w:t>
            </w:r>
          </w:p>
        </w:tc>
        <w:tc>
          <w:tcPr>
            <w:tcW w:w="1792" w:type="dxa"/>
          </w:tcPr>
          <w:p>
            <w:pPr/>
            <w:r>
              <w:t xml:space="preserve">To confirm</w:t>
            </w:r>
          </w:p>
        </w:tc>
        <w:tc>
          <w:tcPr>
            <w:tcW w:w="2894" w:type="dxa"/>
          </w:tcPr>
          <w:p>
            <w:pPr/>
            <w:r>
              <w:t xml:space="preserve">Finding each meeting's contracts and reading their rules</w:t>
            </w:r>
          </w:p>
        </w:tc>
      </w:tr>
      <w:tr>
        <w:tc>
          <w:tcPr>
            <w:tcW w:w="2079" w:type="dxa"/>
          </w:tcPr>
          <w:p>
            <w:pPr/>
            <w:hyperlink r:id="rId6" w:history="1">
              <w:r>
                <w:rPr>
                  <w:rStyle w:val="Hyperlink"/>
                </w:rPr>
                <w:t xml:space="preserve">Kalshi historical endpoints</w:t>
              </w:r>
            </w:hyperlink>
          </w:p>
        </w:tc>
        <w:tc>
          <w:tcPr>
            <w:tcW w:w="2595" w:type="dxa"/>
          </w:tcPr>
          <w:p>
            <w:pPr/>
            <w:r>
              <w:t xml:space="preserve">Markets, trades, candlesticks with bid and ask</w:t>
            </w:r>
          </w:p>
        </w:tc>
        <w:tc>
          <w:tcPr>
            <w:tcW w:w="1792" w:type="dxa"/>
          </w:tcPr>
          <w:p>
            <w:pPr/>
            <w:r>
              <w:t xml:space="preserve">Endpoints confirmed; </w:t>
            </w:r>
            <w:r>
              <w:rPr>
                <w:b/>
              </w:rPr>
              <w:t xml:space="preserve">authentication and rate limits not stated</w:t>
            </w:r>
          </w:p>
        </w:tc>
        <w:tc>
          <w:tcPr>
            <w:tcW w:w="2894" w:type="dxa"/>
          </w:tcPr>
          <w:p>
            <w:pPr/>
            <w:r>
              <w:t xml:space="preserve">Kalshi price paths and quoted spreads</w:t>
            </w:r>
          </w:p>
        </w:tc>
      </w:tr>
      <w:tr>
        <w:tc>
          <w:tcPr>
            <w:tcW w:w="2079" w:type="dxa"/>
          </w:tcPr>
          <w:p>
            <w:pPr/>
            <w:r>
              <w:t xml:space="preserve">Fed, BLS release calendars</w:t>
            </w:r>
          </w:p>
        </w:tc>
        <w:tc>
          <w:tcPr>
            <w:tcW w:w="2595" w:type="dxa"/>
          </w:tcPr>
          <w:p>
            <w:pPr/>
            <w:r>
              <w:t xml:space="preserve">Public</w:t>
            </w:r>
          </w:p>
        </w:tc>
        <w:tc>
          <w:tcPr>
            <w:tcW w:w="1792" w:type="dxa"/>
          </w:tcPr>
          <w:p>
            <w:pPr/>
            <w:r>
              <w:t xml:space="preserve">Yes</w:t>
            </w:r>
          </w:p>
        </w:tc>
        <w:tc>
          <w:tcPr>
            <w:tcW w:w="2894" w:type="dxa"/>
          </w:tcPr>
          <w:p>
            <w:pPr/>
            <w:r>
              <w:t xml:space="preserve">Times of FOMC, CPI and payrolls releases</w:t>
            </w:r>
          </w:p>
        </w:tc>
      </w:tr>
    </w:tbl>
    <w:p>
      <w:pPr/>
      <w:r>
        <w:rPr>
          <w:b/>
        </w:rPr>
        <w:t xml:space="preserve">First task of week 1 is to confirm Kalshi access.</w:t>
      </w:r>
      <w:r>
        <w:t xml:space="preserve"> If an API key is needed, one member opens an account. If historical data is still blocked, the core test becomes Polymarket against the rates market, with the same VECM.</w:t>
      </w:r>
    </w:p>
    <w:p>
      <w:pPr>
        <w:pStyle w:val="Heading3"/>
      </w:pPr>
      <w:r>
        <w:t xml:space="preserve">Universe</w:t>
      </w:r>
    </w:p>
    <w:p>
      <w:pPr>
        <w:pStyle w:val="ListParagraph"/>
        <w:numPr>
          <w:ilvl w:val="0"/>
          <w:numId w:val="4"/>
        </w:numPr>
      </w:pPr>
      <w:r>
        <w:rPr>
          <w:b/>
        </w:rPr>
        <w:t xml:space="preserve">Core (Stages 1, 2 and 4):</w:t>
      </w:r>
      <w:r>
        <w:t xml:space="preserve"> every FOMC meeting from January 2024 to October 2026 listed on both venues. That is roughly 20 meetings with 3 to 5 outcome contracts each, about 60 to 100 matched pairs, each with weeks of hourly prices.</w:t>
      </w:r>
    </w:p>
    <w:p>
      <w:pPr>
        <w:pStyle w:val="ListParagraph"/>
        <w:numPr>
          <w:ilvl w:val="0"/>
          <w:numId w:val="4"/>
        </w:numPr>
      </w:pPr>
      <w:r>
        <w:rPr>
          <w:b/>
        </w:rPr>
        <w:t xml:space="preserve">News windows (Stage 3):</w:t>
      </w:r>
      <w:r>
        <w:t xml:space="preserve"> CPI and payrolls release days in the same period, at minute fidelity, from 30 minutes before to 3 hours after.</w:t>
      </w:r>
    </w:p>
    <w:p>
      <w:pPr>
        <w:pStyle w:val="ListParagraph"/>
        <w:numPr>
          <w:ilvl w:val="0"/>
          <w:numId w:val="4"/>
        </w:numPr>
      </w:pPr>
      <w:r>
        <w:rPr>
          <w:b/>
        </w:rPr>
        <w:t xml:space="preserve">Extension:</w:t>
      </w:r>
      <w:r>
        <w:t xml:space="preserve"> CPI brackets and other events listed on both venues, where resolution rules match.</w:t>
      </w:r>
    </w:p>
    <w:p>
      <w:pPr>
        <w:pStyle w:val="Heading3"/>
      </w:pPr>
      <w:r>
        <w:t xml:space="preserve">Matching is the central data problem</w:t>
      </w:r>
    </w:p>
    <w:p>
      <w:pPr/>
      <w:r>
        <w:t xml:space="preserve">Two contracts are a pair only if they pay out on exactly the same event. "Cut of 25bp or more" and "cut of exactly 25bp" look alike but are different events, and comparing them would show a fake gap. We read both rule texts for every pair, hand-check all of them, and report how many candidate pairs we drop and why.</w:t>
      </w:r>
    </w:p>
    <w:p>
      <w:pPr/>
      <w:r>
        <w:t xml:space="preserve">Timestamps are also a trap. Both series go onto one UTC grid, and an hour counts only when both venues traded or quoted in it.</w:t>
      </w:r>
    </w:p>
    <w:p>
      <w:pPr>
        <w:pStyle w:val="Heading2"/>
      </w:pPr>
      <w:r>
        <w:t xml:space="preserve">Methodology by stage</w:t>
      </w:r>
    </w:p>
    <w:tbl>
      <w:tblPr>
        <w:tblStyle w:val="TableGrid"/>
        <w:tblW w:w="0" w:type="auto"/>
        <w:tblLayout w:type="fixed"/>
        <w:tblLook w:val="04A0" w:firstRow="1" w:lastRow="0" w:firstColumn="0" w:lastColumn="0" w:noHBand="0" w:noVBand="1"/>
      </w:tblPr>
      <w:tblGrid>
        <w:gridCol w:w="2301"/>
        <w:gridCol w:w="1232"/>
        <w:gridCol w:w="4195"/>
        <w:gridCol w:w="1632"/>
      </w:tblGrid>
      <w:tr>
        <w:trPr>
          <w:tblHeader/>
        </w:trPr>
        <w:tc>
          <w:tcPr>
            <w:tcW w:w="2301" w:type="dxa"/>
            <w:shd w:val="clear" w:color="auto" w:fill="F2F2F2"/>
          </w:tcPr>
          <w:p>
            <w:pPr/>
            <w:r>
              <w:t xml:space="preserve">Stage</w:t>
            </w:r>
          </w:p>
        </w:tc>
        <w:tc>
          <w:tcPr>
            <w:tcW w:w="1232" w:type="dxa"/>
            <w:shd w:val="clear" w:color="auto" w:fill="F2F2F2"/>
          </w:tcPr>
          <w:p>
            <w:pPr/>
            <w:r>
              <w:t xml:space="preserve">Question</w:t>
            </w:r>
          </w:p>
        </w:tc>
        <w:tc>
          <w:tcPr>
            <w:tcW w:w="4195" w:type="dxa"/>
            <w:shd w:val="clear" w:color="auto" w:fill="F2F2F2"/>
          </w:tcPr>
          <w:p>
            <w:pPr/>
            <w:r>
              <w:t xml:space="preserve">Method</w:t>
            </w:r>
          </w:p>
        </w:tc>
        <w:tc>
          <w:tcPr>
            <w:tcW w:w="1632" w:type="dxa"/>
            <w:shd w:val="clear" w:color="auto" w:fill="F2F2F2"/>
          </w:tcPr>
          <w:p>
            <w:pPr/>
            <w:r>
              <w:t xml:space="preserve">Output</w:t>
            </w:r>
          </w:p>
        </w:tc>
      </w:tr>
      <w:tr>
        <w:tc>
          <w:tcPr>
            <w:tcW w:w="2301" w:type="dxa"/>
          </w:tcPr>
          <w:p>
            <w:pPr/>
            <w:r>
              <w:rPr>
                <w:b/>
              </w:rPr>
              <w:t xml:space="preserve">1. Law of one price</w:t>
            </w:r>
          </w:p>
        </w:tc>
        <w:tc>
          <w:tcPr>
            <w:tcW w:w="1232" w:type="dxa"/>
          </w:tcPr>
          <w:p>
            <w:pPr/>
            <w:r>
              <w:t xml:space="preserve">Are the two prices equal up to costs?</w:t>
            </w:r>
          </w:p>
        </w:tc>
        <w:tc>
          <w:tcPr>
            <w:tcW w:w="4195" w:type="dxa"/>
          </w:tcPr>
          <w:p>
            <w:pPr/>
            <w:r>
              <w:t xml:space="preserve">Spread in cents and log-odds per pair. t-test of the mean against zero with Newey-West errors. Share of hours outside a no-arbitrage band of fees plus half-spreads</w:t>
            </w:r>
          </w:p>
        </w:tc>
        <w:tc>
          <w:tcPr>
            <w:tcW w:w="1632" w:type="dxa"/>
          </w:tcPr>
          <w:p>
            <w:pPr/>
            <w:r>
              <w:t xml:space="preserve">Average gap, its sign, and the share of hours with tradeable arbitrage</w:t>
            </w:r>
          </w:p>
        </w:tc>
      </w:tr>
      <w:tr>
        <w:tc>
          <w:tcPr>
            <w:tcW w:w="2301" w:type="dxa"/>
          </w:tcPr>
          <w:p>
            <w:pPr/>
            <w:r>
              <w:rPr>
                <w:b/>
              </w:rPr>
              <w:t xml:space="preserve">2. Price discovery</w:t>
            </w:r>
          </w:p>
        </w:tc>
        <w:tc>
          <w:tcPr>
            <w:tcW w:w="1232" w:type="dxa"/>
          </w:tcPr>
          <w:p>
            <w:pPr/>
            <w:r>
              <w:t xml:space="preserve">When the prices diverge, which moves back?</w:t>
            </w:r>
          </w:p>
        </w:tc>
        <w:tc>
          <w:tcPr>
            <w:tcW w:w="4195" w:type="dxa"/>
          </w:tcPr>
          <w:p>
            <w:pPr/>
            <w:r>
              <w:t xml:space="preserve">ADF and KPSS on the spread. VECM with the (1, −1) vector imposed. Granger causality. AR(1) half-life of the spread. Pooled regression of each pair's leader share on the volume ratio and time to resolution</w:t>
            </w:r>
          </w:p>
        </w:tc>
        <w:tc>
          <w:tcPr>
            <w:tcW w:w="1632" w:type="dxa"/>
          </w:tcPr>
          <w:p>
            <w:pPr/>
            <w:r>
              <w:t xml:space="preserve">Leader share per pair and pooled. Half-life of a gap in hours</w:t>
            </w:r>
          </w:p>
        </w:tc>
      </w:tr>
      <w:tr>
        <w:tc>
          <w:tcPr>
            <w:tcW w:w="2301" w:type="dxa"/>
          </w:tcPr>
          <w:p>
            <w:pPr/>
            <w:r>
              <w:rPr>
                <w:b/>
              </w:rPr>
              <w:t xml:space="preserve">3. News reaction</w:t>
            </w:r>
          </w:p>
        </w:tc>
        <w:tc>
          <w:tcPr>
            <w:tcW w:w="1232" w:type="dxa"/>
          </w:tcPr>
          <w:p>
            <w:pPr/>
            <w:r>
              <w:t xml:space="preserve">Who moves first on CPI and payrolls?</w:t>
            </w:r>
          </w:p>
        </w:tc>
        <w:tc>
          <w:tcPr>
            <w:tcW w:w="4195" w:type="dxa"/>
          </w:tcPr>
          <w:p>
            <w:pPr/>
            <w:r>
              <w:t xml:space="preserve">Minute windows around each release. Minutes to 90% of the final move. Bayes-implied posterior from the pre-release price as prior and a likelihood from past releases</w:t>
            </w:r>
          </w:p>
        </w:tc>
        <w:tc>
          <w:tcPr>
            <w:tcW w:w="1632" w:type="dxa"/>
          </w:tcPr>
          <w:p>
            <w:pPr/>
            <w:r>
              <w:t xml:space="preserve">Reaction lag in minutes, and any under- or over-reaction</w:t>
            </w:r>
          </w:p>
        </w:tc>
      </w:tr>
      <w:tr>
        <w:tc>
          <w:tcPr>
            <w:tcW w:w="2301" w:type="dxa"/>
          </w:tcPr>
          <w:p>
            <w:pPr/>
            <w:r>
              <w:rPr>
                <w:b/>
              </w:rPr>
              <w:t xml:space="preserve">4. Forecast value</w:t>
            </w:r>
          </w:p>
        </w:tc>
        <w:tc>
          <w:tcPr>
            <w:tcW w:w="1232" w:type="dxa"/>
          </w:tcPr>
          <w:p>
            <w:pPr/>
            <w:r>
              <w:t xml:space="preserve">When the venues disagree, which is right?</w:t>
            </w:r>
          </w:p>
        </w:tc>
        <w:tc>
          <w:tcPr>
            <w:tcW w:w="4195" w:type="dxa"/>
          </w:tcPr>
          <w:p>
            <w:pPr/>
            <w:r>
              <w:t xml:space="preserve">Brier score per venue at 1 and 7 days out. t-test on the Brier difference. Logit of the outcome on both logit prices, clustered by meeting</w:t>
            </w:r>
          </w:p>
        </w:tc>
        <w:tc>
          <w:tcPr>
            <w:tcW w:w="1632" w:type="dxa"/>
          </w:tcPr>
          <w:p>
            <w:pPr/>
            <w:r>
              <w:t xml:space="preserve">Which venue's price carries the extra information</w:t>
            </w:r>
          </w:p>
        </w:tc>
      </w:tr>
    </w:tbl>
    <w:p>
      <w:pPr>
        <w:pStyle w:val="Heading3"/>
      </w:pPr>
      <w:r>
        <w:t xml:space="preserve">The model</w:t>
      </w:r>
    </w:p>
    <w:p>
      <w:pPr/>
      <w:r>
        <w:t xml:space="preserve">The spread is the gap in log-odds between the two venues:</w:t>
      </w:r>
    </w:p>
    <w:p>
      <w:pPr>
        <w:pStyle w:val="Code"/>
      </w:pPr>
      <w:bookmarkStart w:id="1" w:name="bongo_lang_latex_1"/>
      <w:bookmarkEnd w:id="1"/>
      <w:r>
        <w:t xml:space="preserve">s_t = \operatorname{logit}(p^{K}_t) - \operatorname{logit}(p^{P}_t)</w:t>
      </w:r>
    </w:p>
    <w:p>
      <w:pPr/>
      <w:r>
        <w:t xml:space="preserve">The VECM for each matched pair, with the cointegrating vector imposed:</w:t>
      </w:r>
    </w:p>
    <w:p>
      <w:pPr>
        <w:pStyle w:val="Code"/>
      </w:pPr>
      <w:bookmarkStart w:id="2" w:name="bongo_lang_latex_2"/>
      <w:bookmarkEnd w:id="2"/>
      <w:r>
        <w:t xml:space="preserve">\Delta \operatorname{logit}(p^{K}_t) = \alpha_K\, s_{t-1} + \textstyle\sum_{j=1}^{q} \left( \gamma_j \Delta \operatorname{logit}(p^{K}_{t-j}) + \delta_j \Delta \operatorname{logit}(p^{P}_{t-j}) \right) + \varepsilon^{K}_t \\</w:t>
        <w:br/>
        <w:t xml:space="preserve">\Delta \operatorname{logit}(p^{P}_t) = \alpha_P\, s_{t-1} + \textstyle\sum_{j=1}^{q} \left( \gamma'_j \Delta \operatorname{logit}(p^{K}_{t-j}) + \delta'_j \Delta \operatorname{logit}(p^{P}_{t-j}) \right) + \varepsilon^{P}_t</w:t>
      </w:r>
    </w:p>
    <w:p>
      <w:pPr/>
      <w:r>
        <w:t xml:space="preserve">If Kalshi is too high (s &gt; 0), the follower does the correcting: Kalshi falls (α_K &lt; 0) or Polymarket rises (α_P &gt; 0). Kalshi's share of price discovery is the Gonzalo-Granger component share:</w:t>
      </w:r>
    </w:p>
    <w:p>
      <w:pPr>
        <w:pStyle w:val="Code"/>
      </w:pPr>
      <w:bookmarkStart w:id="3" w:name="bongo_lang_latex_3"/>
      <w:bookmarkEnd w:id="3"/>
      <w:r>
        <w:t xml:space="preserve">\text{Share}_K = \frac{\alpha_P}{\alpha_P - \alpha_K}</w:t>
      </w:r>
    </w:p>
    <w:p>
      <w:pPr/>
      <w:r>
        <w:t xml:space="preserve">A share of 1 means Kalshi never adjusts and leads completely. A share of 0.5 means the two venues share the work equally.</w:t>
      </w:r>
    </w:p>
    <w:p>
      <w:pPr>
        <w:pStyle w:val="Heading3"/>
      </w:pPr>
      <w:r>
        <w:t xml:space="preserve">Why everything is measured in logit space</w:t>
      </w:r>
    </w:p>
    <w:p>
      <w:pPr/>
      <w:r>
        <w:t xml:space="preserve">A price is bounded in [0, 1] and is forced to 0 or 1 at resolution, so a raw price path misbehaves in ADF and KPSS tests near the end. We work in logit space, which is unbounded, and use only hours where both prices sit between 5¢ and 95¢. We report how much data that rule keeps.</w:t>
      </w:r>
    </w:p>
    <w:p>
      <w:pPr>
        <w:pStyle w:val="Heading3"/>
      </w:pPr>
      <w:r>
        <w:t xml:space="preserve">The law of one price ties the stages together</w:t>
      </w:r>
    </w:p>
    <w:p>
      <w:pPr/>
      <w:r>
        <w:t xml:space="preserve">If both venues price the same event with the same information, logit(pᴷ) = logit(pᴾ) at every hour. Each stage tests a different consequence: Stage 1 the level of the gap, Stage 2 how the gap closes, Stage 3 how it opens around news, Stage 4 whether the gap is information or noise. The presentation then has one hypothesis, not four separate findings.</w:t>
      </w:r>
    </w:p>
    <w:p>
      <w:pPr>
        <w:pStyle w:val="Heading2"/>
      </w:pPr>
      <w:r>
        <w:t xml:space="preserve">Mapping to the course</w:t>
      </w:r>
    </w:p>
    <w:p>
      <w:pPr/>
      <w:r>
        <w:t xml:space="preserve">The project is mainly a time-series problem (S5 to S7), with cross-sectional tools (S2 to S4) used to score forecasts and explain why leadership differs across pairs.</w:t>
      </w:r>
    </w:p>
    <w:tbl>
      <w:tblPr>
        <w:tblStyle w:val="TableGrid"/>
        <w:tblW w:w="0" w:type="auto"/>
        <w:tblLayout w:type="fixed"/>
        <w:tblLook w:val="04A0" w:firstRow="1" w:lastRow="0" w:firstColumn="0" w:lastColumn="0" w:noHBand="0" w:noVBand="1"/>
      </w:tblPr>
      <w:tblGrid>
        <w:gridCol w:w="2328"/>
        <w:gridCol w:w="4920"/>
        <w:gridCol w:w="2111"/>
      </w:tblGrid>
      <w:tr>
        <w:trPr>
          <w:tblHeader/>
        </w:trPr>
        <w:tc>
          <w:tcPr>
            <w:tcW w:w="2328" w:type="dxa"/>
            <w:shd w:val="clear" w:color="auto" w:fill="F2F2F2"/>
          </w:tcPr>
          <w:p>
            <w:pPr/>
            <w:r>
              <w:t xml:space="preserve">Session</w:t>
            </w:r>
          </w:p>
        </w:tc>
        <w:tc>
          <w:tcPr>
            <w:tcW w:w="4920" w:type="dxa"/>
            <w:shd w:val="clear" w:color="auto" w:fill="F2F2F2"/>
          </w:tcPr>
          <w:p>
            <w:pPr/>
            <w:r>
              <w:t xml:space="preserve">Content used</w:t>
            </w:r>
          </w:p>
        </w:tc>
        <w:tc>
          <w:tcPr>
            <w:tcW w:w="2111" w:type="dxa"/>
            <w:shd w:val="clear" w:color="auto" w:fill="F2F2F2"/>
          </w:tcPr>
          <w:p>
            <w:pPr/>
            <w:r>
              <w:t xml:space="preserve">Where</w:t>
            </w:r>
          </w:p>
        </w:tc>
      </w:tr>
      <w:tr>
        <w:tc>
          <w:tcPr>
            <w:tcW w:w="2328" w:type="dxa"/>
          </w:tcPr>
          <w:p>
            <w:pPr/>
            <w:r>
              <w:t xml:space="preserve">S1 Probability</w:t>
            </w:r>
          </w:p>
        </w:tc>
        <w:tc>
          <w:tcPr>
            <w:tcW w:w="4920" w:type="dxa"/>
          </w:tcPr>
          <w:p>
            <w:pPr/>
            <w:r>
              <w:t xml:space="preserve">Price as probability; one event, one probability</w:t>
            </w:r>
          </w:p>
        </w:tc>
        <w:tc>
          <w:tcPr>
            <w:tcW w:w="2111" w:type="dxa"/>
          </w:tcPr>
          <w:p>
            <w:pPr/>
            <w:r>
              <w:t xml:space="preserve">Stage 1, the law of one price</w:t>
            </w:r>
          </w:p>
        </w:tc>
      </w:tr>
      <w:tr>
        <w:tc>
          <w:tcPr>
            <w:tcW w:w="2328" w:type="dxa"/>
          </w:tcPr>
          <w:p>
            <w:pPr/>
            <w:r>
              <w:t xml:space="preserve">S1 Bayes</w:t>
            </w:r>
          </w:p>
        </w:tc>
        <w:tc>
          <w:tcPr>
            <w:tcW w:w="4920" w:type="dxa"/>
          </w:tcPr>
          <w:p>
            <w:pPr/>
            <w:r>
              <w:t xml:space="preserve">Prior, likelihood, predictor prior, posterior</w:t>
            </w:r>
          </w:p>
        </w:tc>
        <w:tc>
          <w:tcPr>
            <w:tcW w:w="2111" w:type="dxa"/>
          </w:tcPr>
          <w:p>
            <w:pPr/>
            <w:r>
              <w:t xml:space="preserve">Stage 3, Bayes-implied post-release price</w:t>
            </w:r>
          </w:p>
        </w:tc>
      </w:tr>
      <w:tr>
        <w:tc>
          <w:tcPr>
            <w:tcW w:w="2328" w:type="dxa"/>
          </w:tcPr>
          <w:p>
            <w:pPr/>
            <w:r>
              <w:t xml:space="preserve">S2 Hypothesis testing</w:t>
            </w:r>
          </w:p>
        </w:tc>
        <w:tc>
          <w:tcPr>
            <w:tcW w:w="4920" w:type="dxa"/>
          </w:tcPr>
          <w:p>
            <w:pPr/>
            <w:r>
              <w:t xml:space="preserve">t-test on the mean spread; t-test on the Brier difference</w:t>
            </w:r>
          </w:p>
        </w:tc>
        <w:tc>
          <w:tcPr>
            <w:tcW w:w="2111" w:type="dxa"/>
          </w:tcPr>
          <w:p>
            <w:pPr/>
            <w:r>
              <w:t xml:space="preserve">Stages 1 and 4</w:t>
            </w:r>
          </w:p>
        </w:tc>
      </w:tr>
      <w:tr>
        <w:tc>
          <w:tcPr>
            <w:tcW w:w="2328" w:type="dxa"/>
          </w:tcPr>
          <w:p>
            <w:pPr/>
            <w:r>
              <w:t xml:space="preserve">S3 OLS preconditions</w:t>
            </w:r>
          </w:p>
        </w:tc>
        <w:tc>
          <w:tcPr>
            <w:tcW w:w="4920" w:type="dxa"/>
          </w:tcPr>
          <w:p>
            <w:pPr/>
            <w:r>
              <w:t xml:space="preserve">Autocorrelated residuals in the spread regression, so Newey-West errors and Breusch-Godfrey checks</w:t>
            </w:r>
          </w:p>
        </w:tc>
        <w:tc>
          <w:tcPr>
            <w:tcW w:w="2111" w:type="dxa"/>
          </w:tcPr>
          <w:p>
            <w:pPr/>
            <w:r>
              <w:t xml:space="preserve">Stages 1 and 2</w:t>
            </w:r>
          </w:p>
        </w:tc>
      </w:tr>
      <w:tr>
        <w:tc>
          <w:tcPr>
            <w:tcW w:w="2328" w:type="dxa"/>
          </w:tcPr>
          <w:p>
            <w:pPr/>
            <w:r>
              <w:t xml:space="preserve">S4 Discrete choice</w:t>
            </w:r>
          </w:p>
        </w:tc>
        <w:tc>
          <w:tcPr>
            <w:tcW w:w="4920" w:type="dxa"/>
          </w:tcPr>
          <w:p>
            <w:pPr/>
            <w:r>
              <w:t xml:space="preserve">Logit of the outcome on both venues' prices</w:t>
            </w:r>
          </w:p>
        </w:tc>
        <w:tc>
          <w:tcPr>
            <w:tcW w:w="2111" w:type="dxa"/>
          </w:tcPr>
          <w:p>
            <w:pPr/>
            <w:r>
              <w:t xml:space="preserve">Stage 4</w:t>
            </w:r>
          </w:p>
        </w:tc>
      </w:tr>
      <w:tr>
        <w:tc>
          <w:tcPr>
            <w:tcW w:w="2328" w:type="dxa"/>
          </w:tcPr>
          <w:p>
            <w:pPr/>
            <w:r>
              <w:t xml:space="preserve">S4 Practicum</w:t>
            </w:r>
          </w:p>
        </w:tc>
        <w:tc>
          <w:tcPr>
            <w:tcW w:w="4920" w:type="dxa"/>
          </w:tcPr>
          <w:p>
            <w:pPr/>
            <w:r>
              <w:t xml:space="preserve">Clustered standard errors by meeting; interaction of leader share with time to resolution</w:t>
            </w:r>
          </w:p>
        </w:tc>
        <w:tc>
          <w:tcPr>
            <w:tcW w:w="2111" w:type="dxa"/>
          </w:tcPr>
          <w:p>
            <w:pPr/>
            <w:r>
              <w:t xml:space="preserve">Stages 2 and 4</w:t>
            </w:r>
          </w:p>
        </w:tc>
      </w:tr>
      <w:tr>
        <w:tc>
          <w:tcPr>
            <w:tcW w:w="2328" w:type="dxa"/>
          </w:tcPr>
          <w:p>
            <w:pPr/>
            <w:r>
              <w:t xml:space="preserve">S5 Benchmarks</w:t>
            </w:r>
          </w:p>
        </w:tc>
        <w:tc>
          <w:tcPr>
            <w:tcW w:w="4920" w:type="dxa"/>
          </w:tcPr>
          <w:p>
            <w:pPr/>
            <w:r>
              <w:t xml:space="preserve">"Use the other venue's price" as the naive benchmark; Brier score as the loss</w:t>
            </w:r>
          </w:p>
        </w:tc>
        <w:tc>
          <w:tcPr>
            <w:tcW w:w="2111" w:type="dxa"/>
          </w:tcPr>
          <w:p>
            <w:pPr/>
            <w:r>
              <w:t xml:space="preserve">Stage 4</w:t>
            </w:r>
          </w:p>
        </w:tc>
      </w:tr>
      <w:tr>
        <w:tc>
          <w:tcPr>
            <w:tcW w:w="2328" w:type="dxa"/>
          </w:tcPr>
          <w:p>
            <w:pPr/>
            <w:r>
              <w:t xml:space="preserve">S5–S6 Stationarity and ACF</w:t>
            </w:r>
          </w:p>
        </w:tc>
        <w:tc>
          <w:tcPr>
            <w:tcW w:w="4920" w:type="dxa"/>
          </w:tcPr>
          <w:p>
            <w:pPr/>
            <w:r>
              <w:t xml:space="preserve">ADF and KPSS on the spread; Ljung-Box on VECM residuals</w:t>
            </w:r>
          </w:p>
        </w:tc>
        <w:tc>
          <w:tcPr>
            <w:tcW w:w="2111" w:type="dxa"/>
          </w:tcPr>
          <w:p>
            <w:pPr/>
            <w:r>
              <w:t xml:space="preserve">Stage 2</w:t>
            </w:r>
          </w:p>
        </w:tc>
      </w:tr>
      <w:tr>
        <w:tc>
          <w:tcPr>
            <w:tcW w:w="2328" w:type="dxa"/>
          </w:tcPr>
          <w:p>
            <w:pPr/>
            <w:r>
              <w:t xml:space="preserve">S6 ARMA</w:t>
            </w:r>
          </w:p>
        </w:tc>
        <w:tc>
          <w:tcPr>
            <w:tcW w:w="4920" w:type="dxa"/>
          </w:tcPr>
          <w:p>
            <w:pPr/>
            <w:r>
              <w:t xml:space="preserve">AR(1) on the spread gives the half-life of a gap</w:t>
            </w:r>
          </w:p>
        </w:tc>
        <w:tc>
          <w:tcPr>
            <w:tcW w:w="2111" w:type="dxa"/>
          </w:tcPr>
          <w:p>
            <w:pPr/>
            <w:r>
              <w:t xml:space="preserve">Stage 2</w:t>
            </w:r>
          </w:p>
        </w:tc>
      </w:tr>
      <w:tr>
        <w:tc>
          <w:tcPr>
            <w:tcW w:w="2328" w:type="dxa"/>
          </w:tcPr>
          <w:p>
            <w:pPr/>
            <w:r>
              <w:t xml:space="preserve">S7 Cointegration and ECM</w:t>
            </w:r>
          </w:p>
        </w:tc>
        <w:tc>
          <w:tcPr>
            <w:tcW w:w="4920" w:type="dxa"/>
          </w:tcPr>
          <w:p>
            <w:pPr/>
            <w:r>
              <w:t xml:space="preserve">Engle-Granger with a known vector; VECM error-correction speeds; Granger causality</w:t>
            </w:r>
          </w:p>
        </w:tc>
        <w:tc>
          <w:tcPr>
            <w:tcW w:w="2111" w:type="dxa"/>
          </w:tcPr>
          <w:p>
            <w:pPr/>
            <w:r>
              <w:t xml:space="preserve">Stage 2, the core</w:t>
            </w:r>
          </w:p>
        </w:tc>
      </w:tr>
    </w:tbl>
    <w:p>
      <w:pPr/>
      <w:r>
        <w:t xml:space="preserve">Two points for the presentation. Stage 2 is the rare case where the cointegrating vector is known before looking at data. And the S5 benchmark idea applies directly: a venue that cannot beat "just use the other venue" adds no information.</w:t>
      </w:r>
    </w:p>
    <w:p>
      <w:pPr>
        <w:pStyle w:val="Heading2"/>
      </w:pPr>
      <w:r>
        <w:t xml:space="preserve">Scope and timeline</w:t>
      </w:r>
    </w:p>
    <w:p>
      <w:pPr/>
      <w:r>
        <w:t xml:space="preserve">Three weeks to the class 10 presentation. Four stages will not all land, so we commit to three and treat one as stretch.</w:t>
      </w:r>
    </w:p>
    <w:tbl>
      <w:tblPr>
        <w:tblStyle w:val="TableGrid"/>
        <w:tblW w:w="0" w:type="auto"/>
        <w:tblLayout w:type="fixed"/>
        <w:tblLook w:val="04A0" w:firstRow="1" w:lastRow="0" w:firstColumn="0" w:lastColumn="0" w:noHBand="0" w:noVBand="1"/>
      </w:tblPr>
      <w:tblGrid>
        <w:gridCol w:w="1418"/>
        <w:gridCol w:w="2945"/>
        <w:gridCol w:w="4995"/>
      </w:tblGrid>
      <w:tr>
        <w:trPr>
          <w:tblHeader/>
        </w:trPr>
        <w:tc>
          <w:tcPr>
            <w:tcW w:w="1418" w:type="dxa"/>
            <w:shd w:val="clear" w:color="auto" w:fill="F2F2F2"/>
          </w:tcPr>
          <w:p>
            <w:pPr/>
          </w:p>
        </w:tc>
        <w:tc>
          <w:tcPr>
            <w:tcW w:w="2945" w:type="dxa"/>
            <w:shd w:val="clear" w:color="auto" w:fill="F2F2F2"/>
          </w:tcPr>
          <w:p>
            <w:pPr/>
            <w:r>
              <w:t xml:space="preserve">Stage</w:t>
            </w:r>
          </w:p>
        </w:tc>
        <w:tc>
          <w:tcPr>
            <w:tcW w:w="4995" w:type="dxa"/>
            <w:shd w:val="clear" w:color="auto" w:fill="F2F2F2"/>
          </w:tcPr>
          <w:p>
            <w:pPr/>
            <w:r>
              <w:t xml:space="preserve">Status</w:t>
            </w:r>
          </w:p>
        </w:tc>
      </w:tr>
      <w:tr>
        <w:tc>
          <w:tcPr>
            <w:tcW w:w="1418" w:type="dxa"/>
          </w:tcPr>
          <w:p>
            <w:pPr/>
            <w:r>
              <w:rPr>
                <w:b/>
              </w:rPr>
              <w:t xml:space="preserve">Committed</w:t>
            </w:r>
          </w:p>
        </w:tc>
        <w:tc>
          <w:tcPr>
            <w:tcW w:w="2945" w:type="dxa"/>
          </w:tcPr>
          <w:p>
            <w:pPr/>
            <w:r>
              <w:t xml:space="preserve">1. Law of one price</w:t>
            </w:r>
          </w:p>
        </w:tc>
        <w:tc>
          <w:tcPr>
            <w:tcW w:w="4995" w:type="dxa"/>
          </w:tcPr>
          <w:p>
            <w:pPr/>
            <w:r>
              <w:t xml:space="preserve">Must succeed first. It also checks that the pairs are matched correctly</w:t>
            </w:r>
          </w:p>
        </w:tc>
      </w:tr>
      <w:tr>
        <w:tc>
          <w:tcPr>
            <w:tcW w:w="1418" w:type="dxa"/>
          </w:tcPr>
          <w:p>
            <w:pPr/>
            <w:r>
              <w:rPr>
                <w:b/>
              </w:rPr>
              <w:t xml:space="preserve">Committed</w:t>
            </w:r>
          </w:p>
        </w:tc>
        <w:tc>
          <w:tcPr>
            <w:tcW w:w="2945" w:type="dxa"/>
          </w:tcPr>
          <w:p>
            <w:pPr/>
            <w:r>
              <w:t xml:space="preserve">2. Price discovery</w:t>
            </w:r>
          </w:p>
        </w:tc>
        <w:tc>
          <w:tcPr>
            <w:tcW w:w="4995" w:type="dxa"/>
          </w:tcPr>
          <w:p>
            <w:pPr/>
            <w:r>
              <w:t xml:space="preserve">The core contribution</w:t>
            </w:r>
          </w:p>
        </w:tc>
      </w:tr>
      <w:tr>
        <w:tc>
          <w:tcPr>
            <w:tcW w:w="1418" w:type="dxa"/>
          </w:tcPr>
          <w:p>
            <w:pPr/>
            <w:r>
              <w:rPr>
                <w:b/>
              </w:rPr>
              <w:t xml:space="preserve">Committed</w:t>
            </w:r>
          </w:p>
        </w:tc>
        <w:tc>
          <w:tcPr>
            <w:tcW w:w="2945" w:type="dxa"/>
          </w:tcPr>
          <w:p>
            <w:pPr/>
            <w:r>
              <w:t xml:space="preserve">4. Forecast value</w:t>
            </w:r>
          </w:p>
        </w:tc>
        <w:tc>
          <w:tcPr>
            <w:tcW w:w="4995" w:type="dxa"/>
          </w:tcPr>
          <w:p>
            <w:pPr/>
            <w:r>
              <w:t xml:space="preserve">Cheap: uses Stage 1 data and the known outcomes</w:t>
            </w:r>
          </w:p>
        </w:tc>
      </w:tr>
      <w:tr>
        <w:tc>
          <w:tcPr>
            <w:tcW w:w="1418" w:type="dxa"/>
          </w:tcPr>
          <w:p>
            <w:pPr/>
            <w:r>
              <w:t xml:space="preserve">Stretch</w:t>
            </w:r>
          </w:p>
        </w:tc>
        <w:tc>
          <w:tcPr>
            <w:tcW w:w="2945" w:type="dxa"/>
          </w:tcPr>
          <w:p>
            <w:pPr/>
            <w:r>
              <w:t xml:space="preserve">3. News reaction</w:t>
            </w:r>
          </w:p>
        </w:tc>
        <w:tc>
          <w:tcPr>
            <w:tcW w:w="4995" w:type="dxa"/>
          </w:tcPr>
          <w:p>
            <w:pPr/>
            <w:r>
              <w:t xml:space="preserve">Needs minute data around each release; dropped first if week 1 slips</w:t>
            </w:r>
          </w:p>
        </w:tc>
      </w:tr>
      <w:tr>
        <w:tc>
          <w:tcPr>
            <w:tcW w:w="1418" w:type="dxa"/>
          </w:tcPr>
          <w:p>
            <w:pPr/>
            <w:r>
              <w:t xml:space="preserve">Stretch</w:t>
            </w:r>
          </w:p>
        </w:tc>
        <w:tc>
          <w:tcPr>
            <w:tcW w:w="2945" w:type="dxa"/>
          </w:tcPr>
          <w:p>
            <w:pPr/>
            <w:r>
              <w:t xml:space="preserve">Rates market (FedWatch)</w:t>
            </w:r>
          </w:p>
        </w:tc>
        <w:tc>
          <w:tcPr>
            <w:tcW w:w="4995" w:type="dxa"/>
          </w:tcPr>
          <w:p>
            <w:pPr/>
            <w:r>
              <w:t xml:space="preserve">Only if historical data can be obtained and converted to per-meeting probabilities</w:t>
            </w:r>
          </w:p>
        </w:tc>
      </w:tr>
    </w:tbl>
    <w:p>
      <w:pPr>
        <w:pStyle w:val="Heading3"/>
      </w:pPr>
      <w:r>
        <w:t xml:space="preserve">Week shape</w:t>
      </w:r>
    </w:p>
    <w:p>
      <w:pPr>
        <w:pStyle w:val="ListParagraph"/>
        <w:numPr>
          <w:ilvl w:val="0"/>
          <w:numId w:val="5"/>
        </w:numPr>
      </w:pPr>
      <w:r>
        <w:rPr>
          <w:b/>
        </w:rPr>
        <w:t xml:space="preserve">Week 1</w:t>
      </w:r>
      <w:r>
        <w:t xml:space="preserve"> — confirm Kalshi access; pull both venues for every FOMC meeting since January 2024; match pairs and hand-check every rule text. </w:t>
      </w:r>
      <w:r>
        <w:rPr>
          <w:b/>
        </w:rPr>
        <w:t xml:space="preserve">Gate: at least 40 clean pairs, and a Stage 1 average gap of a few cents or less. A gap much larger than Dune's 1¢ means the matching is wrong, and we fix it before going on.</w:t>
      </w:r>
    </w:p>
    <w:p>
      <w:pPr>
        <w:pStyle w:val="ListParagraph"/>
        <w:numPr>
          <w:ilvl w:val="0"/>
          <w:numId w:val="5"/>
        </w:numPr>
      </w:pPr>
      <w:r>
        <w:rPr>
          <w:b/>
        </w:rPr>
        <w:t xml:space="preserve">Week 2</w:t>
      </w:r>
      <w:r>
        <w:t xml:space="preserve"> — Stage 2 VECMs on every pair, then Stage 4. Stage 3 only if Stage 2 is done by mid-week.</w:t>
      </w:r>
    </w:p>
    <w:p>
      <w:pPr>
        <w:pStyle w:val="ListParagraph"/>
        <w:numPr>
          <w:ilvl w:val="0"/>
          <w:numId w:val="5"/>
        </w:numPr>
      </w:pPr>
      <w:r>
        <w:rPr>
          <w:b/>
        </w:rPr>
        <w:t xml:space="preserve">Week 3</w:t>
      </w:r>
      <w:r>
        <w:t xml:space="preserve"> — freeze results, build the deck, rehearse against a timer.</w:t>
      </w:r>
    </w:p>
    <w:p>
      <w:pPr>
        <w:pStyle w:val="Heading3"/>
      </w:pPr>
      <w:r>
        <w:t xml:space="preserve">Presentation shape, 15 minutes plus 5 of questions</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Min</w:t>
            </w:r>
          </w:p>
        </w:tc>
        <w:tc>
          <w:tcPr>
            <w:tcW w:w="8165" w:type="dxa"/>
            <w:shd w:val="clear" w:color="auto" w:fill="F2F2F2"/>
          </w:tcPr>
          <w:p>
            <w:pPr/>
            <w:r>
              <w:t xml:space="preserve">Content</w:t>
            </w:r>
          </w:p>
        </w:tc>
      </w:tr>
      <w:tr>
        <w:tc>
          <w:tcPr>
            <w:tcW w:w="1194" w:type="dxa"/>
          </w:tcPr>
          <w:p>
            <w:pPr/>
            <w:r>
              <w:t xml:space="preserve">2</w:t>
            </w:r>
          </w:p>
        </w:tc>
        <w:tc>
          <w:tcPr>
            <w:tcW w:w="8165" w:type="dxa"/>
          </w:tcPr>
          <w:p>
            <w:pPr/>
            <w:r>
              <w:t xml:space="preserve">One event, two prices: why the law of one price is testable here</w:t>
            </w:r>
          </w:p>
        </w:tc>
      </w:tr>
      <w:tr>
        <w:tc>
          <w:tcPr>
            <w:tcW w:w="1194" w:type="dxa"/>
          </w:tcPr>
          <w:p>
            <w:pPr/>
            <w:r>
              <w:t xml:space="preserve">2</w:t>
            </w:r>
          </w:p>
        </w:tc>
        <w:tc>
          <w:tcPr>
            <w:tcW w:w="8165" w:type="dxa"/>
          </w:tcPr>
          <w:p>
            <w:pPr/>
            <w:r>
              <w:t xml:space="preserve">What 2026 research settled (accuracy) and what it left open (who leads)</w:t>
            </w:r>
          </w:p>
        </w:tc>
      </w:tr>
      <w:tr>
        <w:tc>
          <w:tcPr>
            <w:tcW w:w="1194" w:type="dxa"/>
          </w:tcPr>
          <w:p>
            <w:pPr/>
            <w:r>
              <w:t xml:space="preserve">3</w:t>
            </w:r>
          </w:p>
        </w:tc>
        <w:tc>
          <w:tcPr>
            <w:tcW w:w="8165" w:type="dxa"/>
          </w:tcPr>
          <w:p>
            <w:pPr/>
            <w:r>
              <w:t xml:space="preserve">Stage 1: how far apart the venues are, and whether the gap is tradeable</w:t>
            </w:r>
          </w:p>
        </w:tc>
      </w:tr>
      <w:tr>
        <w:tc>
          <w:tcPr>
            <w:tcW w:w="1194" w:type="dxa"/>
          </w:tcPr>
          <w:p>
            <w:pPr/>
            <w:r>
              <w:t xml:space="preserve">4</w:t>
            </w:r>
          </w:p>
        </w:tc>
        <w:tc>
          <w:tcPr>
            <w:tcW w:w="8165" w:type="dxa"/>
          </w:tcPr>
          <w:p>
            <w:pPr/>
            <w:r>
              <w:t xml:space="preserve">Stage 2: the VECM, the leader share and the half-life of a gap</w:t>
            </w:r>
          </w:p>
        </w:tc>
      </w:tr>
      <w:tr>
        <w:tc>
          <w:tcPr>
            <w:tcW w:w="1194" w:type="dxa"/>
          </w:tcPr>
          <w:p>
            <w:pPr/>
            <w:r>
              <w:t xml:space="preserve">2</w:t>
            </w:r>
          </w:p>
        </w:tc>
        <w:tc>
          <w:tcPr>
            <w:tcW w:w="8165" w:type="dxa"/>
          </w:tcPr>
          <w:p>
            <w:pPr/>
            <w:r>
              <w:t xml:space="preserve">Worked example: the September 2024 FOMC meeting</w:t>
            </w:r>
          </w:p>
        </w:tc>
      </w:tr>
      <w:tr>
        <w:tc>
          <w:tcPr>
            <w:tcW w:w="1194" w:type="dxa"/>
          </w:tcPr>
          <w:p>
            <w:pPr/>
            <w:r>
              <w:t xml:space="preserve">2</w:t>
            </w:r>
          </w:p>
        </w:tc>
        <w:tc>
          <w:tcPr>
            <w:tcW w:w="8165" w:type="dxa"/>
          </w:tcPr>
          <w:p>
            <w:pPr/>
            <w:r>
              <w:t xml:space="preserve">Stage 4 and what we learned, nulls included</w:t>
            </w:r>
          </w:p>
        </w:tc>
      </w:tr>
    </w:tbl>
    <w:p>
      <w:pPr>
        <w:pStyle w:val="Heading2"/>
      </w:pPr>
      <w:r>
        <w:t xml:space="preserve">What we conclude from each outcome</w:t>
      </w:r>
    </w:p>
    <w:p>
      <w:pPr/>
      <w:r>
        <w:t xml:space="preserve">Grading weights insight above significance, so we state our readings in advance.</w:t>
      </w:r>
    </w:p>
    <w:p>
      <w:pPr>
        <w:pStyle w:val="ListParagraph"/>
        <w:numPr>
          <w:ilvl w:val="0"/>
          <w:numId w:val="6"/>
        </w:numPr>
      </w:pPr>
      <w:r>
        <w:rPr>
          <w:b/>
        </w:rPr>
        <w:t xml:space="preserve">Gaps stay inside costs, and one venue has a share above 0.7.</w:t>
      </w:r>
      <w:r>
        <w:t xml:space="preserve"> The more likely result. The market is efficient to the limit of arbitrage, and one venue does most of the price discovery. Analysts know which number to quote.</w:t>
      </w:r>
    </w:p>
    <w:p>
      <w:pPr>
        <w:pStyle w:val="ListParagraph"/>
        <w:numPr>
          <w:ilvl w:val="0"/>
          <w:numId w:val="6"/>
        </w:numPr>
      </w:pPr>
      <w:r>
        <w:rPr>
          <w:b/>
        </w:rPr>
        <w:t xml:space="preserve">The leader is Kalshi, the smaller venue.</w:t>
      </w:r>
      <w:r>
        <w:t xml:space="preserve"> Information depends on who trades, not how much is traded. US-regulated access may attract better-informed macro traders. Volume would then be a poor guide to where the information is.</w:t>
      </w:r>
    </w:p>
    <w:p>
      <w:pPr>
        <w:pStyle w:val="ListParagraph"/>
        <w:numPr>
          <w:ilvl w:val="0"/>
          <w:numId w:val="6"/>
        </w:numPr>
      </w:pPr>
      <w:r>
        <w:rPr>
          <w:b/>
        </w:rPr>
        <w:t xml:space="preserve">Leadership switches by event type or near resolution.</w:t>
      </w:r>
      <w:r>
        <w:t xml:space="preserve"> Different traders know different things, and we would show where the switch happens.</w:t>
      </w:r>
    </w:p>
    <w:p>
      <w:pPr>
        <w:pStyle w:val="ListParagraph"/>
        <w:numPr>
          <w:ilvl w:val="0"/>
          <w:numId w:val="6"/>
        </w:numPr>
      </w:pPr>
      <w:r>
        <w:rPr>
          <w:b/>
        </w:rPr>
        <w:t xml:space="preserve">Gaps exceed costs and last for hours.</w:t>
      </w:r>
      <w:r>
        <w:t xml:space="preserve"> Real arbitrage exists. We would then ask why: capital locked on each venue, the cost of moving stablecoins, or US access rules for Polymarket.</w:t>
      </w:r>
    </w:p>
    <w:p>
      <w:pPr>
        <w:pStyle w:val="ListParagraph"/>
        <w:numPr>
          <w:ilvl w:val="0"/>
          <w:numId w:val="6"/>
        </w:numPr>
      </w:pPr>
      <w:r>
        <w:rPr>
          <w:b/>
        </w:rPr>
        <w:t xml:space="preserve">One venue leads but the forecasts are equally accurate.</w:t>
      </w:r>
      <w:r>
        <w:t xml:space="preserve"> Leadership is about speed, not better information. This separates being fast from being right.</w:t>
      </w:r>
    </w:p>
    <w:p>
      <w:pPr/>
      <w:r>
        <w:t xml:space="preserve">None of these outcomes leaves us without something to report. That is the main reason we are comfortable committing to this question.</w:t>
      </w:r>
    </w:p>
    <w:p>
      <w:pPr>
        <w:pStyle w:val="Heading2"/>
      </w:pPr>
      <w:r>
        <w:t xml:space="preserve">References</w:t>
      </w:r>
    </w:p>
    <w:p>
      <w:pPr>
        <w:pStyle w:val="Heading3"/>
      </w:pPr>
      <w:r>
        <w:t xml:space="preserve">Prior work we build on and must cite</w:t>
      </w:r>
    </w:p>
    <w:p>
      <w:pPr>
        <w:pStyle w:val="ListParagraph"/>
        <w:numPr>
          <w:ilvl w:val="0"/>
          <w:numId w:val="7"/>
        </w:numPr>
      </w:pPr>
      <w:r>
        <w:t xml:space="preserve">Diercks, A., Katz, J. &amp; Wright, J. (2026), NBER working paper w34702, on Kalshi as a forecaster of FOMC decisions, inflation and unemployment. Coverage: </w:t>
      </w:r>
      <w:hyperlink r:id="rId3" w:history="1">
        <w:r>
          <w:rPr>
            <w:rStyle w:val="Hyperlink"/>
          </w:rPr>
          <w:t xml:space="preserve">Fortune, January 2026</w:t>
        </w:r>
      </w:hyperlink>
      <w:r>
        <w:t xml:space="preserve">.</w:t>
      </w:r>
    </w:p>
    <w:p>
      <w:pPr>
        <w:pStyle w:val="ListParagraph"/>
        <w:numPr>
          <w:ilvl w:val="0"/>
          <w:numId w:val="7"/>
        </w:numPr>
      </w:pPr>
      <w:r>
        <w:t xml:space="preserve">Armani, F. (2026), </w:t>
      </w:r>
      <w:hyperlink r:id="rId4" w:history="1">
        <w:r>
          <w:rPr>
            <w:rStyle w:val="Hyperlink"/>
          </w:rPr>
          <w:t xml:space="preserve">Pricing the Fed: Kalshi, Polymarket and CME FedWatch</w:t>
        </w:r>
      </w:hyperlink>
      <w:r>
        <w:t xml:space="preserve">, Dune — the cross-venue gap and the open question we take up.</w:t>
      </w:r>
    </w:p>
    <w:p>
      <w:pPr>
        <w:pStyle w:val="ListParagraph"/>
        <w:numPr>
          <w:ilvl w:val="0"/>
          <w:numId w:val="7"/>
        </w:numPr>
      </w:pPr>
      <w:r>
        <w:t xml:space="preserve">Gonzalo, J. &amp; Granger, C. (1995) — the permanent-transitory decomposition behind the component share.</w:t>
      </w:r>
    </w:p>
    <w:p>
      <w:pPr>
        <w:pStyle w:val="ListParagraph"/>
        <w:numPr>
          <w:ilvl w:val="0"/>
          <w:numId w:val="7"/>
        </w:numPr>
      </w:pPr>
      <w:r>
        <w:t xml:space="preserve">Hasbrouck, J. (1995) — information shares, the standard alternative measure of price discovery across venues.</w:t>
      </w:r>
    </w:p>
    <w:p>
      <w:pPr>
        <w:pStyle w:val="ListParagraph"/>
        <w:numPr>
          <w:ilvl w:val="0"/>
          <w:numId w:val="7"/>
        </w:numPr>
      </w:pPr>
      <w:r>
        <w:t xml:space="preserve">Engle, R. &amp; Granger, C. (1987) — cointegration and error correction.</w:t>
      </w:r>
    </w:p>
    <w:p>
      <w:pPr>
        <w:pStyle w:val="ListParagraph"/>
        <w:numPr>
          <w:ilvl w:val="0"/>
          <w:numId w:val="7"/>
        </w:numPr>
      </w:pPr>
      <w:r>
        <w:t xml:space="preserve">Shleifer, A. &amp; Vishny, R. (1997), </w:t>
      </w:r>
      <w:r>
        <w:rPr>
          <w:i/>
        </w:rPr>
        <w:t xml:space="preserve">The Limits of Arbitrage</w:t>
      </w:r>
      <w:r>
        <w:t xml:space="preserve"> — why a gap can survive when capital is constrained.</w:t>
      </w:r>
    </w:p>
    <w:p>
      <w:pPr>
        <w:pStyle w:val="ListParagraph"/>
        <w:numPr>
          <w:ilvl w:val="0"/>
          <w:numId w:val="7"/>
        </w:numPr>
      </w:pPr>
      <w:r>
        <w:t xml:space="preserve">Wolfers, J. &amp; Zitzewitz, E. (2004), </w:t>
      </w:r>
      <w:r>
        <w:rPr>
          <w:i/>
        </w:rPr>
        <w:t xml:space="preserve">Prediction Markets</w:t>
      </w:r>
      <w:r>
        <w:t xml:space="preserve">, Journal of Economic Perspectives — the framing reference.</w:t>
      </w:r>
    </w:p>
    <w:p>
      <w:pPr>
        <w:pStyle w:val="Heading3"/>
      </w:pPr>
      <w:r>
        <w:t xml:space="preserve">Data sources</w:t>
      </w:r>
    </w:p>
    <w:p>
      <w:pPr>
        <w:pStyle w:val="ListParagraph"/>
        <w:numPr>
          <w:ilvl w:val="0"/>
          <w:numId w:val="8"/>
        </w:numPr>
      </w:pPr>
      <w:hyperlink r:id="rId5" w:history="1">
        <w:r>
          <w:rPr>
            <w:rStyle w:val="Hyperlink"/>
          </w:rPr>
          <w:t xml:space="preserve">Polymarket CLOB </w:t>
        </w:r>
      </w:hyperlink>
      <w:hyperlink r:id="rId5" w:history="1">
        <w:r>
          <w:rPr>
            <w:rStyle w:val="CodeChar"/>
          </w:rPr>
          <w:t xml:space="preserve">/prices-history</w:t>
        </w:r>
      </w:hyperlink>
      <w:r>
        <w:t xml:space="preserve">.</w:t>
      </w:r>
    </w:p>
    <w:p>
      <w:pPr>
        <w:pStyle w:val="ListParagraph"/>
        <w:numPr>
          <w:ilvl w:val="0"/>
          <w:numId w:val="8"/>
        </w:numPr>
      </w:pPr>
      <w:hyperlink r:id="rId6" w:history="1">
        <w:r>
          <w:rPr>
            <w:rStyle w:val="Hyperlink"/>
          </w:rPr>
          <w:t xml:space="preserve">Kalshi historical data endpoints</w:t>
        </w:r>
      </w:hyperlink>
      <w:r>
        <w:t xml:space="preserve">.</w:t>
      </w:r>
    </w:p>
    <w:p>
      <w:pPr>
        <w:pStyle w:val="ListParagraph"/>
        <w:numPr>
          <w:ilvl w:val="0"/>
          <w:numId w:val="8"/>
        </w:numPr>
      </w:pPr>
      <w:hyperlink r:id="rId7" w:history="1">
        <w:r>
          <w:rPr>
            <w:rStyle w:val="Hyperlink"/>
          </w:rPr>
          <w:t xml:space="preserve">Atlanta Fed Market Probability Tracker</w:t>
        </w:r>
      </w:hyperlink>
      <w:r>
        <w:t xml:space="preserve"> — a possible rates-market benchmark, built from SOFR options.</w:t>
      </w:r>
    </w:p>
    <w:p>
      <w:pPr>
        <w:pStyle w:val="Heading3"/>
      </w:pPr>
      <w:r>
        <w:t xml:space="preserve">Course material the methods come from</w:t>
      </w:r>
    </w:p>
    <w:p>
      <w:pPr>
        <w:pStyle w:val="ListParagraph"/>
        <w:numPr>
          <w:ilvl w:val="0"/>
          <w:numId w:val="9"/>
        </w:numPr>
      </w:pPr>
      <w:r>
        <w:t xml:space="preserve">S1 — probability, Bayes' theorem.</w:t>
      </w:r>
    </w:p>
    <w:p>
      <w:pPr>
        <w:pStyle w:val="ListParagraph"/>
        <w:numPr>
          <w:ilvl w:val="0"/>
          <w:numId w:val="9"/>
        </w:numPr>
      </w:pPr>
      <w:r>
        <w:t xml:space="preserve">S2 — hypothesis tests on means.</w:t>
      </w:r>
    </w:p>
    <w:p>
      <w:pPr>
        <w:pStyle w:val="ListParagraph"/>
        <w:numPr>
          <w:ilvl w:val="0"/>
          <w:numId w:val="9"/>
        </w:numPr>
      </w:pPr>
      <w:r>
        <w:t xml:space="preserve">S3 — OLS preconditions, autocorrelated errors.</w:t>
      </w:r>
    </w:p>
    <w:p>
      <w:pPr>
        <w:pStyle w:val="ListParagraph"/>
        <w:numPr>
          <w:ilvl w:val="0"/>
          <w:numId w:val="9"/>
        </w:numPr>
      </w:pPr>
      <w:r>
        <w:t xml:space="preserve">S4 — logit, clustered standard errors.</w:t>
      </w:r>
    </w:p>
    <w:p>
      <w:pPr>
        <w:pStyle w:val="ListParagraph"/>
        <w:numPr>
          <w:ilvl w:val="0"/>
          <w:numId w:val="9"/>
        </w:numPr>
      </w:pPr>
      <w:r>
        <w:t xml:space="preserve">S5–S6 — forecast benchmarks, ACF, ARMA, ADF and KPSS.</w:t>
      </w:r>
    </w:p>
    <w:p>
      <w:pPr>
        <w:pStyle w:val="ListParagraph"/>
        <w:numPr>
          <w:ilvl w:val="0"/>
          <w:numId w:val="9"/>
        </w:numPr>
      </w:pPr>
      <w:r>
        <w:t xml:space="preserve">S7 — Engle-Granger ECM, Johansen VECM, Granger causality.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fortune.com/2026/01/28/kalshi-prediction-market-federal-reserve-betting-forecast-nber-working-paper/" TargetMode="External"/><Relationship Id="rId4" Type="http://schemas.openxmlformats.org/officeDocument/2006/relationships/hyperlink" Target="https://dune.com/blog/pricing-the-fed-kalshi-polymarket-cme-fedwatch" TargetMode="External"/><Relationship Id="rId5" Type="http://schemas.openxmlformats.org/officeDocument/2006/relationships/hyperlink" Target="https://docs.polymarket.com/api-reference/markets/get-prices-history" TargetMode="External"/><Relationship Id="rId6" Type="http://schemas.openxmlformats.org/officeDocument/2006/relationships/hyperlink" Target="https://docs.kalshi.com/getting_started/historical_data" TargetMode="External"/><Relationship Id="rId7" Type="http://schemas.openxmlformats.org/officeDocument/2006/relationships/hyperlink" Target="https://www.atlantafed.org/research-and-data/data/market-probability-tracker/what-to-know"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Cross-Venue Price Discovery — Proposal v3</dc:title>
  <dc:description>Claude Docs node/58cf1cec-b45c@19 docx-w7</dc:description>
  <cp:revision>19</cp:revision>
</cp:coreProperties>
</file>