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3A0" w:rsidRPr="000A13A0" w:rsidRDefault="000A13A0" w:rsidP="000A13A0">
      <w:pPr>
        <w:shd w:val="clear" w:color="auto" w:fill="FFFFFF"/>
        <w:spacing w:after="100" w:afterAutospacing="1" w:line="240" w:lineRule="auto"/>
        <w:textAlignment w:val="baseline"/>
        <w:rPr>
          <w:rFonts w:ascii="Segoe UI" w:eastAsia="Times New Roman" w:hAnsi="Segoe UI" w:cs="Segoe UI"/>
          <w:color w:val="242729"/>
          <w:sz w:val="23"/>
          <w:szCs w:val="23"/>
        </w:rPr>
      </w:pPr>
      <w:r w:rsidRPr="000A13A0">
        <w:rPr>
          <w:rFonts w:ascii="Segoe UI" w:eastAsia="Times New Roman" w:hAnsi="Segoe UI" w:cs="Segoe UI"/>
          <w:color w:val="242729"/>
          <w:sz w:val="23"/>
          <w:szCs w:val="23"/>
        </w:rPr>
        <w:t xml:space="preserve">There are numerous ways of calculating bootstrap CIs and p-values. The main issue is that it is impossible for the bootstrap to generate data under a null hypothesis. The permutation test is a viable resampling based alternative to this. To use a proper </w:t>
      </w:r>
      <w:proofErr w:type="gramStart"/>
      <w:r w:rsidRPr="000A13A0">
        <w:rPr>
          <w:rFonts w:ascii="Segoe UI" w:eastAsia="Times New Roman" w:hAnsi="Segoe UI" w:cs="Segoe UI"/>
          <w:color w:val="242729"/>
          <w:sz w:val="23"/>
          <w:szCs w:val="23"/>
        </w:rPr>
        <w:t>bootstrap</w:t>
      </w:r>
      <w:proofErr w:type="gramEnd"/>
      <w:r w:rsidRPr="000A13A0">
        <w:rPr>
          <w:rFonts w:ascii="Segoe UI" w:eastAsia="Times New Roman" w:hAnsi="Segoe UI" w:cs="Segoe UI"/>
          <w:color w:val="242729"/>
          <w:sz w:val="23"/>
          <w:szCs w:val="23"/>
        </w:rPr>
        <w:t xml:space="preserve"> you must make some assumptions about the sampling distribution of the test statistic.</w:t>
      </w:r>
    </w:p>
    <w:p w:rsidR="000A13A0" w:rsidRPr="000A13A0" w:rsidRDefault="000A13A0" w:rsidP="000A13A0">
      <w:pPr>
        <w:shd w:val="clear" w:color="auto" w:fill="FFFFFF"/>
        <w:spacing w:after="0" w:afterAutospacing="1" w:line="240" w:lineRule="auto"/>
        <w:textAlignment w:val="baseline"/>
        <w:rPr>
          <w:rFonts w:ascii="Segoe UI" w:eastAsia="Times New Roman" w:hAnsi="Segoe UI" w:cs="Segoe UI"/>
          <w:color w:val="242729"/>
          <w:sz w:val="23"/>
          <w:szCs w:val="23"/>
        </w:rPr>
      </w:pPr>
      <w:r w:rsidRPr="000A13A0">
        <w:rPr>
          <w:rFonts w:ascii="Segoe UI" w:eastAsia="Times New Roman" w:hAnsi="Segoe UI" w:cs="Segoe UI"/>
          <w:color w:val="242729"/>
          <w:sz w:val="23"/>
          <w:szCs w:val="23"/>
        </w:rPr>
        <w:t>A comment about lack of invariance of testing: it is entirely possible to find 95% CIs not inclusive of the null yet a p &gt; 0.05 or vice versa. To have better agreement, the calculation of bootstrap samples under the null </w:t>
      </w:r>
      <w:r w:rsidRPr="000A13A0">
        <w:rPr>
          <w:rFonts w:ascii="inherit" w:eastAsia="Times New Roman" w:hAnsi="inherit" w:cs="Segoe UI"/>
          <w:i/>
          <w:iCs/>
          <w:color w:val="242729"/>
          <w:sz w:val="23"/>
          <w:szCs w:val="23"/>
          <w:bdr w:val="none" w:sz="0" w:space="0" w:color="auto" w:frame="1"/>
        </w:rPr>
        <w:t>must</w:t>
      </w:r>
      <w:r w:rsidRPr="000A13A0">
        <w:rPr>
          <w:rFonts w:ascii="Segoe UI" w:eastAsia="Times New Roman" w:hAnsi="Segoe UI" w:cs="Segoe UI"/>
          <w:color w:val="242729"/>
          <w:sz w:val="23"/>
          <w:szCs w:val="23"/>
        </w:rPr>
        <w:t> be dope as </w:t>
      </w:r>
      <w:r w:rsidRPr="000A13A0">
        <w:rPr>
          <w:rFonts w:ascii="MathJax_Math-italic" w:eastAsia="Times New Roman" w:hAnsi="MathJax_Math-italic" w:cs="Segoe UI"/>
          <w:color w:val="242729"/>
          <w:sz w:val="26"/>
          <w:szCs w:val="26"/>
          <w:bdr w:val="none" w:sz="0" w:space="0" w:color="auto" w:frame="1"/>
        </w:rPr>
        <w:t>β</w:t>
      </w:r>
      <w:r w:rsidRPr="000A13A0">
        <w:rPr>
          <w:rFonts w:ascii="Cambria Math" w:eastAsia="Times New Roman" w:hAnsi="Cambria Math" w:cs="Cambria Math"/>
          <w:color w:val="242729"/>
          <w:sz w:val="18"/>
          <w:szCs w:val="18"/>
          <w:bdr w:val="none" w:sz="0" w:space="0" w:color="auto" w:frame="1"/>
        </w:rPr>
        <w:t>∗</w:t>
      </w:r>
      <w:r w:rsidRPr="000A13A0">
        <w:rPr>
          <w:rFonts w:ascii="MathJax_Main" w:eastAsia="Times New Roman" w:hAnsi="MathJax_Main" w:cs="Segoe UI"/>
          <w:color w:val="242729"/>
          <w:sz w:val="18"/>
          <w:szCs w:val="18"/>
          <w:bdr w:val="none" w:sz="0" w:space="0" w:color="auto" w:frame="1"/>
        </w:rPr>
        <w:t>0</w:t>
      </w:r>
      <w:r w:rsidRPr="000A13A0">
        <w:rPr>
          <w:rFonts w:ascii="MathJax_Main" w:eastAsia="Times New Roman" w:hAnsi="MathJax_Main" w:cs="Segoe UI"/>
          <w:color w:val="242729"/>
          <w:sz w:val="26"/>
          <w:szCs w:val="26"/>
          <w:bdr w:val="none" w:sz="0" w:space="0" w:color="auto" w:frame="1"/>
        </w:rPr>
        <w:t>=</w:t>
      </w:r>
      <w:r w:rsidRPr="000A13A0">
        <w:rPr>
          <w:rFonts w:ascii="MathJax_Math-italic" w:eastAsia="Times New Roman" w:hAnsi="MathJax_Math-italic" w:cs="Segoe UI"/>
          <w:color w:val="242729"/>
          <w:sz w:val="26"/>
          <w:szCs w:val="26"/>
          <w:bdr w:val="none" w:sz="0" w:space="0" w:color="auto" w:frame="1"/>
        </w:rPr>
        <w:t>β</w:t>
      </w:r>
      <w:r w:rsidRPr="000A13A0">
        <w:rPr>
          <w:rFonts w:ascii="MathJax_Main" w:eastAsia="Times New Roman" w:hAnsi="MathJax_Main" w:cs="Segoe UI"/>
          <w:color w:val="242729"/>
          <w:sz w:val="26"/>
          <w:szCs w:val="26"/>
          <w:bdr w:val="none" w:sz="0" w:space="0" w:color="auto" w:frame="1"/>
        </w:rPr>
        <w:t>^−</w:t>
      </w:r>
      <w:r w:rsidRPr="000A13A0">
        <w:rPr>
          <w:rFonts w:ascii="MathJax_Math-italic" w:eastAsia="Times New Roman" w:hAnsi="MathJax_Math-italic" w:cs="Segoe UI"/>
          <w:color w:val="242729"/>
          <w:sz w:val="26"/>
          <w:szCs w:val="26"/>
          <w:bdr w:val="none" w:sz="0" w:space="0" w:color="auto" w:frame="1"/>
        </w:rPr>
        <w:t>β</w:t>
      </w:r>
      <w:r w:rsidRPr="000A13A0">
        <w:rPr>
          <w:rFonts w:ascii="MathJax_Main" w:eastAsia="Times New Roman" w:hAnsi="MathJax_Main" w:cs="Segoe UI"/>
          <w:color w:val="242729"/>
          <w:sz w:val="26"/>
          <w:szCs w:val="26"/>
          <w:bdr w:val="none" w:sz="0" w:space="0" w:color="auto" w:frame="1"/>
        </w:rPr>
        <w:t>^</w:t>
      </w:r>
      <w:r w:rsidRPr="000A13A0">
        <w:rPr>
          <w:rFonts w:ascii="Cambria Math" w:eastAsia="Times New Roman" w:hAnsi="Cambria Math" w:cs="Cambria Math"/>
          <w:color w:val="242729"/>
          <w:sz w:val="18"/>
          <w:szCs w:val="18"/>
          <w:bdr w:val="none" w:sz="0" w:space="0" w:color="auto" w:frame="1"/>
        </w:rPr>
        <w:t>∗</w:t>
      </w:r>
      <w:r w:rsidRPr="000A13A0">
        <w:rPr>
          <w:rFonts w:ascii="inherit" w:eastAsia="Times New Roman" w:hAnsi="inherit" w:cs="Segoe UI"/>
          <w:color w:val="242729"/>
          <w:sz w:val="23"/>
          <w:szCs w:val="23"/>
          <w:bdr w:val="none" w:sz="0" w:space="0" w:color="auto" w:frame="1"/>
        </w:rPr>
        <w:t>β0</w:t>
      </w:r>
      <w:r w:rsidRPr="000A13A0">
        <w:rPr>
          <w:rFonts w:ascii="Cambria Math" w:eastAsia="Times New Roman" w:hAnsi="Cambria Math" w:cs="Cambria Math"/>
          <w:color w:val="242729"/>
          <w:sz w:val="23"/>
          <w:szCs w:val="23"/>
          <w:bdr w:val="none" w:sz="0" w:space="0" w:color="auto" w:frame="1"/>
        </w:rPr>
        <w:t>∗</w:t>
      </w:r>
      <w:r w:rsidRPr="000A13A0">
        <w:rPr>
          <w:rFonts w:ascii="inherit" w:eastAsia="Times New Roman" w:hAnsi="inherit" w:cs="Segoe UI"/>
          <w:color w:val="242729"/>
          <w:sz w:val="23"/>
          <w:szCs w:val="23"/>
          <w:bdr w:val="none" w:sz="0" w:space="0" w:color="auto" w:frame="1"/>
        </w:rPr>
        <w:t>=</w:t>
      </w:r>
      <w:r w:rsidRPr="000A13A0">
        <w:rPr>
          <w:rFonts w:ascii="Times New Roman" w:eastAsia="Times New Roman" w:hAnsi="Times New Roman" w:cs="Times New Roman"/>
          <w:color w:val="242729"/>
          <w:sz w:val="23"/>
          <w:szCs w:val="23"/>
          <w:bdr w:val="none" w:sz="0" w:space="0" w:color="auto" w:frame="1"/>
        </w:rPr>
        <w:t>β</w:t>
      </w:r>
      <w:r w:rsidRPr="000A13A0">
        <w:rPr>
          <w:rFonts w:ascii="inherit" w:eastAsia="Times New Roman" w:hAnsi="inherit" w:cs="Segoe UI"/>
          <w:color w:val="242729"/>
          <w:sz w:val="23"/>
          <w:szCs w:val="23"/>
          <w:bdr w:val="none" w:sz="0" w:space="0" w:color="auto" w:frame="1"/>
        </w:rPr>
        <w:t>^</w:t>
      </w:r>
      <w:r w:rsidRPr="000A13A0">
        <w:rPr>
          <w:rFonts w:ascii="Times New Roman" w:eastAsia="Times New Roman" w:hAnsi="Times New Roman" w:cs="Times New Roman"/>
          <w:color w:val="242729"/>
          <w:sz w:val="23"/>
          <w:szCs w:val="23"/>
          <w:bdr w:val="none" w:sz="0" w:space="0" w:color="auto" w:frame="1"/>
        </w:rPr>
        <w:t>−β</w:t>
      </w:r>
      <w:r w:rsidRPr="000A13A0">
        <w:rPr>
          <w:rFonts w:ascii="inherit" w:eastAsia="Times New Roman" w:hAnsi="inherit" w:cs="Segoe UI"/>
          <w:color w:val="242729"/>
          <w:sz w:val="23"/>
          <w:szCs w:val="23"/>
          <w:bdr w:val="none" w:sz="0" w:space="0" w:color="auto" w:frame="1"/>
        </w:rPr>
        <w:t>^</w:t>
      </w:r>
      <w:r w:rsidRPr="000A13A0">
        <w:rPr>
          <w:rFonts w:ascii="Cambria Math" w:eastAsia="Times New Roman" w:hAnsi="Cambria Math" w:cs="Cambria Math"/>
          <w:color w:val="242729"/>
          <w:sz w:val="23"/>
          <w:szCs w:val="23"/>
          <w:bdr w:val="none" w:sz="0" w:space="0" w:color="auto" w:frame="1"/>
        </w:rPr>
        <w:t>∗</w:t>
      </w:r>
      <w:r w:rsidRPr="000A13A0">
        <w:rPr>
          <w:rFonts w:ascii="Segoe UI" w:eastAsia="Times New Roman" w:hAnsi="Segoe UI" w:cs="Segoe UI"/>
          <w:color w:val="242729"/>
          <w:sz w:val="23"/>
          <w:szCs w:val="23"/>
        </w:rPr>
        <w:t> rather than </w:t>
      </w:r>
      <w:r w:rsidRPr="000A13A0">
        <w:rPr>
          <w:rFonts w:ascii="MathJax_Math-italic" w:eastAsia="Times New Roman" w:hAnsi="MathJax_Math-italic" w:cs="Segoe UI"/>
          <w:color w:val="242729"/>
          <w:sz w:val="26"/>
          <w:szCs w:val="26"/>
          <w:bdr w:val="none" w:sz="0" w:space="0" w:color="auto" w:frame="1"/>
        </w:rPr>
        <w:t>β</w:t>
      </w:r>
      <w:r w:rsidRPr="000A13A0">
        <w:rPr>
          <w:rFonts w:ascii="Cambria Math" w:eastAsia="Times New Roman" w:hAnsi="Cambria Math" w:cs="Cambria Math"/>
          <w:color w:val="242729"/>
          <w:sz w:val="18"/>
          <w:szCs w:val="18"/>
          <w:bdr w:val="none" w:sz="0" w:space="0" w:color="auto" w:frame="1"/>
        </w:rPr>
        <w:t>∗</w:t>
      </w:r>
      <w:r w:rsidRPr="000A13A0">
        <w:rPr>
          <w:rFonts w:ascii="MathJax_Main" w:eastAsia="Times New Roman" w:hAnsi="MathJax_Main" w:cs="Segoe UI"/>
          <w:color w:val="242729"/>
          <w:sz w:val="18"/>
          <w:szCs w:val="18"/>
          <w:bdr w:val="none" w:sz="0" w:space="0" w:color="auto" w:frame="1"/>
        </w:rPr>
        <w:t>0</w:t>
      </w:r>
      <w:r w:rsidRPr="000A13A0">
        <w:rPr>
          <w:rFonts w:ascii="MathJax_Main" w:eastAsia="Times New Roman" w:hAnsi="MathJax_Main" w:cs="Segoe UI"/>
          <w:color w:val="242729"/>
          <w:sz w:val="26"/>
          <w:szCs w:val="26"/>
          <w:bdr w:val="none" w:sz="0" w:space="0" w:color="auto" w:frame="1"/>
        </w:rPr>
        <w:t>=</w:t>
      </w:r>
      <w:r w:rsidRPr="000A13A0">
        <w:rPr>
          <w:rFonts w:ascii="MathJax_Math-italic" w:eastAsia="Times New Roman" w:hAnsi="MathJax_Math-italic" w:cs="Segoe UI"/>
          <w:color w:val="242729"/>
          <w:sz w:val="26"/>
          <w:szCs w:val="26"/>
          <w:bdr w:val="none" w:sz="0" w:space="0" w:color="auto" w:frame="1"/>
        </w:rPr>
        <w:t>β</w:t>
      </w:r>
      <w:r w:rsidRPr="000A13A0">
        <w:rPr>
          <w:rFonts w:ascii="MathJax_Main" w:eastAsia="Times New Roman" w:hAnsi="MathJax_Main" w:cs="Segoe UI"/>
          <w:color w:val="242729"/>
          <w:sz w:val="26"/>
          <w:szCs w:val="26"/>
          <w:bdr w:val="none" w:sz="0" w:space="0" w:color="auto" w:frame="1"/>
        </w:rPr>
        <w:t>^</w:t>
      </w:r>
      <w:r w:rsidRPr="000A13A0">
        <w:rPr>
          <w:rFonts w:ascii="Cambria Math" w:eastAsia="Times New Roman" w:hAnsi="Cambria Math" w:cs="Cambria Math"/>
          <w:color w:val="242729"/>
          <w:sz w:val="18"/>
          <w:szCs w:val="18"/>
          <w:bdr w:val="none" w:sz="0" w:space="0" w:color="auto" w:frame="1"/>
        </w:rPr>
        <w:t>∗</w:t>
      </w:r>
      <w:r w:rsidRPr="000A13A0">
        <w:rPr>
          <w:rFonts w:ascii="MathJax_Main" w:eastAsia="Times New Roman" w:hAnsi="MathJax_Main" w:cs="Segoe UI"/>
          <w:color w:val="242729"/>
          <w:sz w:val="26"/>
          <w:szCs w:val="26"/>
          <w:bdr w:val="none" w:sz="0" w:space="0" w:color="auto" w:frame="1"/>
        </w:rPr>
        <w:t>−</w:t>
      </w:r>
      <w:r w:rsidRPr="000A13A0">
        <w:rPr>
          <w:rFonts w:ascii="MathJax_Math-italic" w:eastAsia="Times New Roman" w:hAnsi="MathJax_Math-italic" w:cs="Segoe UI"/>
          <w:color w:val="242729"/>
          <w:sz w:val="26"/>
          <w:szCs w:val="26"/>
          <w:bdr w:val="none" w:sz="0" w:space="0" w:color="auto" w:frame="1"/>
        </w:rPr>
        <w:t>β</w:t>
      </w:r>
      <w:r w:rsidRPr="000A13A0">
        <w:rPr>
          <w:rFonts w:ascii="MathJax_Main" w:eastAsia="Times New Roman" w:hAnsi="MathJax_Main" w:cs="Segoe UI"/>
          <w:color w:val="242729"/>
          <w:sz w:val="26"/>
          <w:szCs w:val="26"/>
          <w:bdr w:val="none" w:sz="0" w:space="0" w:color="auto" w:frame="1"/>
        </w:rPr>
        <w:t>^</w:t>
      </w:r>
      <w:r w:rsidRPr="000A13A0">
        <w:rPr>
          <w:rFonts w:ascii="inherit" w:eastAsia="Times New Roman" w:hAnsi="inherit" w:cs="Segoe UI"/>
          <w:color w:val="242729"/>
          <w:sz w:val="23"/>
          <w:szCs w:val="23"/>
          <w:bdr w:val="none" w:sz="0" w:space="0" w:color="auto" w:frame="1"/>
        </w:rPr>
        <w:t>β0</w:t>
      </w:r>
      <w:r w:rsidRPr="000A13A0">
        <w:rPr>
          <w:rFonts w:ascii="Cambria Math" w:eastAsia="Times New Roman" w:hAnsi="Cambria Math" w:cs="Cambria Math"/>
          <w:color w:val="242729"/>
          <w:sz w:val="23"/>
          <w:szCs w:val="23"/>
          <w:bdr w:val="none" w:sz="0" w:space="0" w:color="auto" w:frame="1"/>
        </w:rPr>
        <w:t>∗</w:t>
      </w:r>
      <w:r w:rsidRPr="000A13A0">
        <w:rPr>
          <w:rFonts w:ascii="inherit" w:eastAsia="Times New Roman" w:hAnsi="inherit" w:cs="Segoe UI"/>
          <w:color w:val="242729"/>
          <w:sz w:val="23"/>
          <w:szCs w:val="23"/>
          <w:bdr w:val="none" w:sz="0" w:space="0" w:color="auto" w:frame="1"/>
        </w:rPr>
        <w:t>=</w:t>
      </w:r>
      <w:r w:rsidRPr="000A13A0">
        <w:rPr>
          <w:rFonts w:ascii="Times New Roman" w:eastAsia="Times New Roman" w:hAnsi="Times New Roman" w:cs="Times New Roman"/>
          <w:color w:val="242729"/>
          <w:sz w:val="23"/>
          <w:szCs w:val="23"/>
          <w:bdr w:val="none" w:sz="0" w:space="0" w:color="auto" w:frame="1"/>
        </w:rPr>
        <w:t>β</w:t>
      </w:r>
      <w:r w:rsidRPr="000A13A0">
        <w:rPr>
          <w:rFonts w:ascii="inherit" w:eastAsia="Times New Roman" w:hAnsi="inherit" w:cs="Segoe UI"/>
          <w:color w:val="242729"/>
          <w:sz w:val="23"/>
          <w:szCs w:val="23"/>
          <w:bdr w:val="none" w:sz="0" w:space="0" w:color="auto" w:frame="1"/>
        </w:rPr>
        <w:t>^</w:t>
      </w:r>
      <w:r w:rsidRPr="000A13A0">
        <w:rPr>
          <w:rFonts w:ascii="Cambria Math" w:eastAsia="Times New Roman" w:hAnsi="Cambria Math" w:cs="Cambria Math"/>
          <w:color w:val="242729"/>
          <w:sz w:val="23"/>
          <w:szCs w:val="23"/>
          <w:bdr w:val="none" w:sz="0" w:space="0" w:color="auto" w:frame="1"/>
        </w:rPr>
        <w:t>∗</w:t>
      </w:r>
      <w:r w:rsidRPr="000A13A0">
        <w:rPr>
          <w:rFonts w:ascii="Times New Roman" w:eastAsia="Times New Roman" w:hAnsi="Times New Roman" w:cs="Times New Roman"/>
          <w:color w:val="242729"/>
          <w:sz w:val="23"/>
          <w:szCs w:val="23"/>
          <w:bdr w:val="none" w:sz="0" w:space="0" w:color="auto" w:frame="1"/>
        </w:rPr>
        <w:t>−β</w:t>
      </w:r>
      <w:r w:rsidRPr="000A13A0">
        <w:rPr>
          <w:rFonts w:ascii="inherit" w:eastAsia="Times New Roman" w:hAnsi="inherit" w:cs="Segoe UI"/>
          <w:color w:val="242729"/>
          <w:sz w:val="23"/>
          <w:szCs w:val="23"/>
          <w:bdr w:val="none" w:sz="0" w:space="0" w:color="auto" w:frame="1"/>
        </w:rPr>
        <w:t>^</w:t>
      </w:r>
      <w:r w:rsidRPr="000A13A0">
        <w:rPr>
          <w:rFonts w:ascii="Segoe UI" w:eastAsia="Times New Roman" w:hAnsi="Segoe UI" w:cs="Segoe UI"/>
          <w:color w:val="242729"/>
          <w:sz w:val="23"/>
          <w:szCs w:val="23"/>
        </w:rPr>
        <w:t>. That is to say if the density is skewed right in the bootstrap sample, the density must be skewed left in the null. It is not really possible to invert tests for CIs with non-analytical (e.g. resampling) solutions such as this.</w:t>
      </w:r>
    </w:p>
    <w:p w:rsidR="000A13A0" w:rsidRPr="000A13A0" w:rsidRDefault="000A13A0" w:rsidP="000A13A0">
      <w:pPr>
        <w:shd w:val="clear" w:color="auto" w:fill="FFFFFF"/>
        <w:spacing w:before="376" w:after="144" w:line="240" w:lineRule="auto"/>
        <w:textAlignment w:val="baseline"/>
        <w:outlineLvl w:val="0"/>
        <w:rPr>
          <w:rFonts w:ascii="Segoe UI" w:eastAsia="Times New Roman" w:hAnsi="Segoe UI" w:cs="Segoe UI"/>
          <w:b/>
          <w:bCs/>
          <w:color w:val="242729"/>
          <w:kern w:val="36"/>
          <w:sz w:val="48"/>
          <w:szCs w:val="48"/>
        </w:rPr>
      </w:pPr>
      <w:r w:rsidRPr="000A13A0">
        <w:rPr>
          <w:rFonts w:ascii="Segoe UI" w:eastAsia="Times New Roman" w:hAnsi="Segoe UI" w:cs="Segoe UI"/>
          <w:b/>
          <w:bCs/>
          <w:color w:val="242729"/>
          <w:kern w:val="36"/>
          <w:sz w:val="48"/>
          <w:szCs w:val="48"/>
        </w:rPr>
        <w:t>normal bootstrap</w:t>
      </w:r>
    </w:p>
    <w:p w:rsidR="000A13A0" w:rsidRPr="000A13A0" w:rsidRDefault="000A13A0" w:rsidP="000A13A0">
      <w:pPr>
        <w:shd w:val="clear" w:color="auto" w:fill="FFFFFF"/>
        <w:spacing w:after="0" w:afterAutospacing="1" w:line="240" w:lineRule="auto"/>
        <w:textAlignment w:val="baseline"/>
        <w:rPr>
          <w:rFonts w:ascii="Segoe UI" w:eastAsia="Times New Roman" w:hAnsi="Segoe UI" w:cs="Segoe UI"/>
          <w:color w:val="242729"/>
          <w:sz w:val="23"/>
          <w:szCs w:val="23"/>
        </w:rPr>
      </w:pPr>
      <w:r w:rsidRPr="000A13A0">
        <w:rPr>
          <w:rFonts w:ascii="Segoe UI" w:eastAsia="Times New Roman" w:hAnsi="Segoe UI" w:cs="Segoe UI"/>
          <w:color w:val="242729"/>
          <w:sz w:val="23"/>
          <w:szCs w:val="23"/>
        </w:rPr>
        <w:t>One approach is a </w:t>
      </w:r>
      <w:r w:rsidRPr="000A13A0">
        <w:rPr>
          <w:rFonts w:ascii="inherit" w:eastAsia="Times New Roman" w:hAnsi="inherit" w:cs="Segoe UI"/>
          <w:b/>
          <w:bCs/>
          <w:color w:val="242729"/>
          <w:sz w:val="23"/>
          <w:szCs w:val="23"/>
          <w:bdr w:val="none" w:sz="0" w:space="0" w:color="auto" w:frame="1"/>
        </w:rPr>
        <w:t>normal bootstrap</w:t>
      </w:r>
      <w:r w:rsidRPr="000A13A0">
        <w:rPr>
          <w:rFonts w:ascii="Segoe UI" w:eastAsia="Times New Roman" w:hAnsi="Segoe UI" w:cs="Segoe UI"/>
          <w:color w:val="242729"/>
          <w:sz w:val="23"/>
          <w:szCs w:val="23"/>
        </w:rPr>
        <w:t> where you take the mean and standard deviation of the bootstrap distribution, calculate the sampling distribution under the null by shifting the distribution and using the normal percentiles from the null distribution at the point of the estimate in the original bootstrap sample. This is a reasonable approach when the bootstrap distribution is normal, visual inspection usually suffices here. Results using this approach are usually very close to robust, or sandwich based error estimation which is robust against heteroscedasticity and/or finite sample variance assumptions. The assumption of a normal test statistic is a stronger condition of the assumptions in the next bootstrap test I will discuss.</w:t>
      </w:r>
    </w:p>
    <w:p w:rsidR="000A13A0" w:rsidRPr="000A13A0" w:rsidRDefault="000A13A0" w:rsidP="000A13A0">
      <w:pPr>
        <w:shd w:val="clear" w:color="auto" w:fill="FFFFFF"/>
        <w:spacing w:before="376" w:after="144" w:line="240" w:lineRule="auto"/>
        <w:textAlignment w:val="baseline"/>
        <w:outlineLvl w:val="0"/>
        <w:rPr>
          <w:rFonts w:ascii="Segoe UI" w:eastAsia="Times New Roman" w:hAnsi="Segoe UI" w:cs="Segoe UI"/>
          <w:b/>
          <w:bCs/>
          <w:color w:val="242729"/>
          <w:kern w:val="36"/>
          <w:sz w:val="48"/>
          <w:szCs w:val="48"/>
        </w:rPr>
      </w:pPr>
      <w:r w:rsidRPr="000A13A0">
        <w:rPr>
          <w:rFonts w:ascii="Segoe UI" w:eastAsia="Times New Roman" w:hAnsi="Segoe UI" w:cs="Segoe UI"/>
          <w:b/>
          <w:bCs/>
          <w:color w:val="242729"/>
          <w:kern w:val="36"/>
          <w:sz w:val="48"/>
          <w:szCs w:val="48"/>
        </w:rPr>
        <w:t>percentile bootstrap</w:t>
      </w:r>
    </w:p>
    <w:p w:rsidR="000A13A0" w:rsidRPr="000A13A0" w:rsidRDefault="000A13A0" w:rsidP="000A13A0">
      <w:pPr>
        <w:shd w:val="clear" w:color="auto" w:fill="FFFFFF"/>
        <w:spacing w:after="0" w:afterAutospacing="1" w:line="240" w:lineRule="auto"/>
        <w:textAlignment w:val="baseline"/>
        <w:rPr>
          <w:rFonts w:ascii="Segoe UI" w:eastAsia="Times New Roman" w:hAnsi="Segoe UI" w:cs="Segoe UI"/>
          <w:color w:val="242729"/>
          <w:sz w:val="23"/>
          <w:szCs w:val="23"/>
        </w:rPr>
      </w:pPr>
      <w:r w:rsidRPr="000A13A0">
        <w:rPr>
          <w:rFonts w:ascii="Segoe UI" w:eastAsia="Times New Roman" w:hAnsi="Segoe UI" w:cs="Segoe UI"/>
          <w:color w:val="242729"/>
          <w:sz w:val="23"/>
          <w:szCs w:val="23"/>
        </w:rPr>
        <w:t>Another approach is the </w:t>
      </w:r>
      <w:r w:rsidRPr="000A13A0">
        <w:rPr>
          <w:rFonts w:ascii="inherit" w:eastAsia="Times New Roman" w:hAnsi="inherit" w:cs="Segoe UI"/>
          <w:b/>
          <w:bCs/>
          <w:color w:val="242729"/>
          <w:sz w:val="23"/>
          <w:szCs w:val="23"/>
          <w:bdr w:val="none" w:sz="0" w:space="0" w:color="auto" w:frame="1"/>
        </w:rPr>
        <w:t>percentile bootstrap</w:t>
      </w:r>
      <w:r w:rsidRPr="000A13A0">
        <w:rPr>
          <w:rFonts w:ascii="Segoe UI" w:eastAsia="Times New Roman" w:hAnsi="Segoe UI" w:cs="Segoe UI"/>
          <w:color w:val="242729"/>
          <w:sz w:val="23"/>
          <w:szCs w:val="23"/>
        </w:rPr>
        <w:t> which is what I think most of us consider when we speak of the bootstrap. Here, the bootstrapped distribution of parameter estimates an empirical distribution of the sample under the alternative hypothesis. This distribution can possibly be non-normal. A 95% CI is easily calculated by taking the empirical quantiles. But one important assumption is that such a </w:t>
      </w:r>
      <w:r w:rsidRPr="000A13A0">
        <w:rPr>
          <w:rFonts w:ascii="inherit" w:eastAsia="Times New Roman" w:hAnsi="inherit" w:cs="Segoe UI"/>
          <w:b/>
          <w:bCs/>
          <w:color w:val="242729"/>
          <w:sz w:val="23"/>
          <w:szCs w:val="23"/>
          <w:bdr w:val="none" w:sz="0" w:space="0" w:color="auto" w:frame="1"/>
        </w:rPr>
        <w:t>distribution is pivotal</w:t>
      </w:r>
      <w:r w:rsidRPr="000A13A0">
        <w:rPr>
          <w:rFonts w:ascii="Segoe UI" w:eastAsia="Times New Roman" w:hAnsi="Segoe UI" w:cs="Segoe UI"/>
          <w:color w:val="242729"/>
          <w:sz w:val="23"/>
          <w:szCs w:val="23"/>
        </w:rPr>
        <w:t>. This means that if the underlying parameter changes, the shape of the distribution is only shifted by a constant, and the scale does not necessarily change. This is a strong assumption! If this holds, you can generate the "distribution of the statistic under the null hypothesis" (DSNH or </w:t>
      </w:r>
      <w:r w:rsidRPr="000A13A0">
        <w:rPr>
          <w:rFonts w:ascii="MathJax_Caligraphic" w:eastAsia="Times New Roman" w:hAnsi="MathJax_Caligraphic" w:cs="Segoe UI"/>
          <w:color w:val="242729"/>
          <w:sz w:val="26"/>
          <w:szCs w:val="26"/>
          <w:bdr w:val="none" w:sz="0" w:space="0" w:color="auto" w:frame="1"/>
        </w:rPr>
        <w:t>F</w:t>
      </w:r>
      <w:r w:rsidRPr="000A13A0">
        <w:rPr>
          <w:rFonts w:ascii="Cambria Math" w:eastAsia="Times New Roman" w:hAnsi="Cambria Math" w:cs="Cambria Math"/>
          <w:color w:val="242729"/>
          <w:sz w:val="18"/>
          <w:szCs w:val="18"/>
          <w:bdr w:val="none" w:sz="0" w:space="0" w:color="auto" w:frame="1"/>
        </w:rPr>
        <w:t>∗</w:t>
      </w:r>
      <w:r w:rsidRPr="000A13A0">
        <w:rPr>
          <w:rFonts w:ascii="MathJax_Main" w:eastAsia="Times New Roman" w:hAnsi="MathJax_Main" w:cs="Segoe UI"/>
          <w:color w:val="242729"/>
          <w:sz w:val="18"/>
          <w:szCs w:val="18"/>
          <w:bdr w:val="none" w:sz="0" w:space="0" w:color="auto" w:frame="1"/>
        </w:rPr>
        <w:t>0</w:t>
      </w:r>
      <w:r w:rsidRPr="000A13A0">
        <w:rPr>
          <w:rFonts w:ascii="inherit" w:eastAsia="Times New Roman" w:hAnsi="inherit" w:cs="Segoe UI"/>
          <w:color w:val="242729"/>
          <w:sz w:val="23"/>
          <w:szCs w:val="23"/>
          <w:bdr w:val="none" w:sz="0" w:space="0" w:color="auto" w:frame="1"/>
        </w:rPr>
        <w:t>F0</w:t>
      </w:r>
      <w:r w:rsidRPr="000A13A0">
        <w:rPr>
          <w:rFonts w:ascii="Cambria Math" w:eastAsia="Times New Roman" w:hAnsi="Cambria Math" w:cs="Cambria Math"/>
          <w:color w:val="242729"/>
          <w:sz w:val="23"/>
          <w:szCs w:val="23"/>
          <w:bdr w:val="none" w:sz="0" w:space="0" w:color="auto" w:frame="1"/>
        </w:rPr>
        <w:t>∗</w:t>
      </w:r>
      <w:r w:rsidRPr="000A13A0">
        <w:rPr>
          <w:rFonts w:ascii="Segoe UI" w:eastAsia="Times New Roman" w:hAnsi="Segoe UI" w:cs="Segoe UI"/>
          <w:color w:val="242729"/>
          <w:sz w:val="23"/>
          <w:szCs w:val="23"/>
        </w:rPr>
        <w:t>) by subtracting the bootstrap distribution from the estimates, then calculating what percentage of the DSNH is "more extreme" than your estimate by using </w:t>
      </w:r>
      <w:r w:rsidRPr="000A13A0">
        <w:rPr>
          <w:rFonts w:ascii="MathJax_Main" w:eastAsia="Times New Roman" w:hAnsi="MathJax_Main" w:cs="Segoe UI"/>
          <w:color w:val="242729"/>
          <w:sz w:val="26"/>
          <w:szCs w:val="26"/>
          <w:bdr w:val="none" w:sz="0" w:space="0" w:color="auto" w:frame="1"/>
        </w:rPr>
        <w:t>2×min(</w:t>
      </w:r>
      <w:r w:rsidRPr="000A13A0">
        <w:rPr>
          <w:rFonts w:ascii="MathJax_Caligraphic" w:eastAsia="Times New Roman" w:hAnsi="MathJax_Caligraphic" w:cs="Segoe UI"/>
          <w:color w:val="242729"/>
          <w:sz w:val="26"/>
          <w:szCs w:val="26"/>
          <w:bdr w:val="none" w:sz="0" w:space="0" w:color="auto" w:frame="1"/>
        </w:rPr>
        <w:t>F</w:t>
      </w:r>
      <w:r w:rsidRPr="000A13A0">
        <w:rPr>
          <w:rFonts w:ascii="Cambria Math" w:eastAsia="Times New Roman" w:hAnsi="Cambria Math" w:cs="Cambria Math"/>
          <w:color w:val="242729"/>
          <w:sz w:val="18"/>
          <w:szCs w:val="18"/>
          <w:bdr w:val="none" w:sz="0" w:space="0" w:color="auto" w:frame="1"/>
        </w:rPr>
        <w:t>∗</w:t>
      </w:r>
      <w:r w:rsidRPr="000A13A0">
        <w:rPr>
          <w:rFonts w:ascii="MathJax_Main" w:eastAsia="Times New Roman" w:hAnsi="MathJax_Main" w:cs="Segoe UI"/>
          <w:color w:val="242729"/>
          <w:sz w:val="18"/>
          <w:szCs w:val="18"/>
          <w:bdr w:val="none" w:sz="0" w:space="0" w:color="auto" w:frame="1"/>
        </w:rPr>
        <w:t>0</w:t>
      </w:r>
      <w:r w:rsidRPr="000A13A0">
        <w:rPr>
          <w:rFonts w:ascii="MathJax_Main" w:eastAsia="Times New Roman" w:hAnsi="MathJax_Main" w:cs="Segoe UI"/>
          <w:color w:val="242729"/>
          <w:sz w:val="26"/>
          <w:szCs w:val="26"/>
          <w:bdr w:val="none" w:sz="0" w:space="0" w:color="auto" w:frame="1"/>
        </w:rPr>
        <w:t>(</w:t>
      </w:r>
      <w:r w:rsidRPr="000A13A0">
        <w:rPr>
          <w:rFonts w:ascii="MathJax_Math-italic" w:eastAsia="Times New Roman" w:hAnsi="MathJax_Math-italic" w:cs="Segoe UI"/>
          <w:color w:val="242729"/>
          <w:sz w:val="26"/>
          <w:szCs w:val="26"/>
          <w:bdr w:val="none" w:sz="0" w:space="0" w:color="auto" w:frame="1"/>
        </w:rPr>
        <w:t>β</w:t>
      </w:r>
      <w:r w:rsidRPr="000A13A0">
        <w:rPr>
          <w:rFonts w:ascii="MathJax_Main" w:eastAsia="Times New Roman" w:hAnsi="MathJax_Main" w:cs="Segoe UI"/>
          <w:color w:val="242729"/>
          <w:sz w:val="26"/>
          <w:szCs w:val="26"/>
          <w:bdr w:val="none" w:sz="0" w:space="0" w:color="auto" w:frame="1"/>
        </w:rPr>
        <w:t>^),1−</w:t>
      </w:r>
      <w:r w:rsidRPr="000A13A0">
        <w:rPr>
          <w:rFonts w:ascii="MathJax_Caligraphic" w:eastAsia="Times New Roman" w:hAnsi="MathJax_Caligraphic" w:cs="Segoe UI"/>
          <w:color w:val="242729"/>
          <w:sz w:val="26"/>
          <w:szCs w:val="26"/>
          <w:bdr w:val="none" w:sz="0" w:space="0" w:color="auto" w:frame="1"/>
        </w:rPr>
        <w:t>F</w:t>
      </w:r>
      <w:r w:rsidRPr="000A13A0">
        <w:rPr>
          <w:rFonts w:ascii="Cambria Math" w:eastAsia="Times New Roman" w:hAnsi="Cambria Math" w:cs="Cambria Math"/>
          <w:color w:val="242729"/>
          <w:sz w:val="18"/>
          <w:szCs w:val="18"/>
          <w:bdr w:val="none" w:sz="0" w:space="0" w:color="auto" w:frame="1"/>
        </w:rPr>
        <w:t>∗</w:t>
      </w:r>
      <w:r w:rsidRPr="000A13A0">
        <w:rPr>
          <w:rFonts w:ascii="MathJax_Main" w:eastAsia="Times New Roman" w:hAnsi="MathJax_Main" w:cs="Segoe UI"/>
          <w:color w:val="242729"/>
          <w:sz w:val="18"/>
          <w:szCs w:val="18"/>
          <w:bdr w:val="none" w:sz="0" w:space="0" w:color="auto" w:frame="1"/>
        </w:rPr>
        <w:t>0</w:t>
      </w:r>
      <w:r w:rsidRPr="000A13A0">
        <w:rPr>
          <w:rFonts w:ascii="MathJax_Main" w:eastAsia="Times New Roman" w:hAnsi="MathJax_Main" w:cs="Segoe UI"/>
          <w:color w:val="242729"/>
          <w:sz w:val="26"/>
          <w:szCs w:val="26"/>
          <w:bdr w:val="none" w:sz="0" w:space="0" w:color="auto" w:frame="1"/>
        </w:rPr>
        <w:t>(</w:t>
      </w:r>
      <w:r w:rsidRPr="000A13A0">
        <w:rPr>
          <w:rFonts w:ascii="MathJax_Math-italic" w:eastAsia="Times New Roman" w:hAnsi="MathJax_Math-italic" w:cs="Segoe UI"/>
          <w:color w:val="242729"/>
          <w:sz w:val="26"/>
          <w:szCs w:val="26"/>
          <w:bdr w:val="none" w:sz="0" w:space="0" w:color="auto" w:frame="1"/>
        </w:rPr>
        <w:t>β</w:t>
      </w:r>
      <w:r w:rsidRPr="000A13A0">
        <w:rPr>
          <w:rFonts w:ascii="MathJax_Main" w:eastAsia="Times New Roman" w:hAnsi="MathJax_Main" w:cs="Segoe UI"/>
          <w:color w:val="242729"/>
          <w:sz w:val="26"/>
          <w:szCs w:val="26"/>
          <w:bdr w:val="none" w:sz="0" w:space="0" w:color="auto" w:frame="1"/>
        </w:rPr>
        <w:t>^))</w:t>
      </w:r>
      <w:r w:rsidRPr="000A13A0">
        <w:rPr>
          <w:rFonts w:ascii="inherit" w:eastAsia="Times New Roman" w:hAnsi="inherit" w:cs="Segoe UI"/>
          <w:color w:val="242729"/>
          <w:sz w:val="23"/>
          <w:szCs w:val="23"/>
          <w:bdr w:val="none" w:sz="0" w:space="0" w:color="auto" w:frame="1"/>
        </w:rPr>
        <w:t>2×min(F0</w:t>
      </w:r>
      <w:r w:rsidRPr="000A13A0">
        <w:rPr>
          <w:rFonts w:ascii="Cambria Math" w:eastAsia="Times New Roman" w:hAnsi="Cambria Math" w:cs="Cambria Math"/>
          <w:color w:val="242729"/>
          <w:sz w:val="23"/>
          <w:szCs w:val="23"/>
          <w:bdr w:val="none" w:sz="0" w:space="0" w:color="auto" w:frame="1"/>
        </w:rPr>
        <w:t>∗</w:t>
      </w:r>
      <w:r w:rsidRPr="000A13A0">
        <w:rPr>
          <w:rFonts w:ascii="inherit" w:eastAsia="Times New Roman" w:hAnsi="inherit" w:cs="Segoe UI"/>
          <w:color w:val="242729"/>
          <w:sz w:val="23"/>
          <w:szCs w:val="23"/>
          <w:bdr w:val="none" w:sz="0" w:space="0" w:color="auto" w:frame="1"/>
        </w:rPr>
        <w:t>(</w:t>
      </w:r>
      <w:r w:rsidRPr="000A13A0">
        <w:rPr>
          <w:rFonts w:ascii="Times New Roman" w:eastAsia="Times New Roman" w:hAnsi="Times New Roman" w:cs="Times New Roman"/>
          <w:color w:val="242729"/>
          <w:sz w:val="23"/>
          <w:szCs w:val="23"/>
          <w:bdr w:val="none" w:sz="0" w:space="0" w:color="auto" w:frame="1"/>
        </w:rPr>
        <w:t>β</w:t>
      </w:r>
      <w:r w:rsidRPr="000A13A0">
        <w:rPr>
          <w:rFonts w:ascii="inherit" w:eastAsia="Times New Roman" w:hAnsi="inherit" w:cs="Segoe UI"/>
          <w:color w:val="242729"/>
          <w:sz w:val="23"/>
          <w:szCs w:val="23"/>
          <w:bdr w:val="none" w:sz="0" w:space="0" w:color="auto" w:frame="1"/>
        </w:rPr>
        <w:t>^),1</w:t>
      </w:r>
      <w:r w:rsidRPr="000A13A0">
        <w:rPr>
          <w:rFonts w:ascii="Times New Roman" w:eastAsia="Times New Roman" w:hAnsi="Times New Roman" w:cs="Times New Roman"/>
          <w:color w:val="242729"/>
          <w:sz w:val="23"/>
          <w:szCs w:val="23"/>
          <w:bdr w:val="none" w:sz="0" w:space="0" w:color="auto" w:frame="1"/>
        </w:rPr>
        <w:t>−</w:t>
      </w:r>
      <w:r w:rsidRPr="000A13A0">
        <w:rPr>
          <w:rFonts w:ascii="inherit" w:eastAsia="Times New Roman" w:hAnsi="inherit" w:cs="Segoe UI"/>
          <w:color w:val="242729"/>
          <w:sz w:val="23"/>
          <w:szCs w:val="23"/>
          <w:bdr w:val="none" w:sz="0" w:space="0" w:color="auto" w:frame="1"/>
        </w:rPr>
        <w:t>F0</w:t>
      </w:r>
      <w:r w:rsidRPr="000A13A0">
        <w:rPr>
          <w:rFonts w:ascii="Cambria Math" w:eastAsia="Times New Roman" w:hAnsi="Cambria Math" w:cs="Cambria Math"/>
          <w:color w:val="242729"/>
          <w:sz w:val="23"/>
          <w:szCs w:val="23"/>
          <w:bdr w:val="none" w:sz="0" w:space="0" w:color="auto" w:frame="1"/>
        </w:rPr>
        <w:t>∗</w:t>
      </w:r>
      <w:r w:rsidRPr="000A13A0">
        <w:rPr>
          <w:rFonts w:ascii="inherit" w:eastAsia="Times New Roman" w:hAnsi="inherit" w:cs="Segoe UI"/>
          <w:color w:val="242729"/>
          <w:sz w:val="23"/>
          <w:szCs w:val="23"/>
          <w:bdr w:val="none" w:sz="0" w:space="0" w:color="auto" w:frame="1"/>
        </w:rPr>
        <w:t>(</w:t>
      </w:r>
      <w:r w:rsidRPr="000A13A0">
        <w:rPr>
          <w:rFonts w:ascii="Times New Roman" w:eastAsia="Times New Roman" w:hAnsi="Times New Roman" w:cs="Times New Roman"/>
          <w:color w:val="242729"/>
          <w:sz w:val="23"/>
          <w:szCs w:val="23"/>
          <w:bdr w:val="none" w:sz="0" w:space="0" w:color="auto" w:frame="1"/>
        </w:rPr>
        <w:t>β</w:t>
      </w:r>
      <w:r w:rsidRPr="000A13A0">
        <w:rPr>
          <w:rFonts w:ascii="inherit" w:eastAsia="Times New Roman" w:hAnsi="inherit" w:cs="Segoe UI"/>
          <w:color w:val="242729"/>
          <w:sz w:val="23"/>
          <w:szCs w:val="23"/>
          <w:bdr w:val="none" w:sz="0" w:space="0" w:color="auto" w:frame="1"/>
        </w:rPr>
        <w:t>^))</w:t>
      </w:r>
    </w:p>
    <w:p w:rsidR="000A13A0" w:rsidRPr="000A13A0" w:rsidRDefault="000A13A0" w:rsidP="000A13A0">
      <w:pPr>
        <w:shd w:val="clear" w:color="auto" w:fill="FFFFFF"/>
        <w:spacing w:before="376" w:after="144" w:line="240" w:lineRule="auto"/>
        <w:textAlignment w:val="baseline"/>
        <w:outlineLvl w:val="0"/>
        <w:rPr>
          <w:rFonts w:ascii="Segoe UI" w:eastAsia="Times New Roman" w:hAnsi="Segoe UI" w:cs="Segoe UI"/>
          <w:b/>
          <w:bCs/>
          <w:color w:val="242729"/>
          <w:kern w:val="36"/>
          <w:sz w:val="48"/>
          <w:szCs w:val="48"/>
        </w:rPr>
      </w:pPr>
      <w:proofErr w:type="spellStart"/>
      <w:r w:rsidRPr="000A13A0">
        <w:rPr>
          <w:rFonts w:ascii="Segoe UI" w:eastAsia="Times New Roman" w:hAnsi="Segoe UI" w:cs="Segoe UI"/>
          <w:b/>
          <w:bCs/>
          <w:color w:val="242729"/>
          <w:kern w:val="36"/>
          <w:sz w:val="48"/>
          <w:szCs w:val="48"/>
        </w:rPr>
        <w:lastRenderedPageBreak/>
        <w:t>Studentized</w:t>
      </w:r>
      <w:proofErr w:type="spellEnd"/>
      <w:r w:rsidRPr="000A13A0">
        <w:rPr>
          <w:rFonts w:ascii="Segoe UI" w:eastAsia="Times New Roman" w:hAnsi="Segoe UI" w:cs="Segoe UI"/>
          <w:b/>
          <w:bCs/>
          <w:color w:val="242729"/>
          <w:kern w:val="36"/>
          <w:sz w:val="48"/>
          <w:szCs w:val="48"/>
        </w:rPr>
        <w:t xml:space="preserve"> bootstrap</w:t>
      </w:r>
    </w:p>
    <w:p w:rsidR="000A13A0" w:rsidRPr="000A13A0" w:rsidRDefault="000A13A0" w:rsidP="000A13A0">
      <w:pPr>
        <w:shd w:val="clear" w:color="auto" w:fill="FFFFFF"/>
        <w:spacing w:after="0" w:afterAutospacing="1" w:line="240" w:lineRule="auto"/>
        <w:textAlignment w:val="baseline"/>
        <w:rPr>
          <w:rFonts w:ascii="Segoe UI" w:eastAsia="Times New Roman" w:hAnsi="Segoe UI" w:cs="Segoe UI"/>
          <w:color w:val="242729"/>
          <w:sz w:val="23"/>
          <w:szCs w:val="23"/>
        </w:rPr>
      </w:pPr>
      <w:r w:rsidRPr="000A13A0">
        <w:rPr>
          <w:rFonts w:ascii="Segoe UI" w:eastAsia="Times New Roman" w:hAnsi="Segoe UI" w:cs="Segoe UI"/>
          <w:color w:val="242729"/>
          <w:sz w:val="23"/>
          <w:szCs w:val="23"/>
        </w:rPr>
        <w:t>The easiest bootstrap solution to calculating </w:t>
      </w:r>
      <w:r w:rsidRPr="000A13A0">
        <w:rPr>
          <w:rFonts w:ascii="MathJax_Math-italic" w:eastAsia="Times New Roman" w:hAnsi="MathJax_Math-italic" w:cs="Segoe UI"/>
          <w:color w:val="242729"/>
          <w:sz w:val="26"/>
          <w:szCs w:val="26"/>
          <w:bdr w:val="none" w:sz="0" w:space="0" w:color="auto" w:frame="1"/>
        </w:rPr>
        <w:t>p</w:t>
      </w:r>
      <w:r w:rsidRPr="000A13A0">
        <w:rPr>
          <w:rFonts w:ascii="inherit" w:eastAsia="Times New Roman" w:hAnsi="inherit" w:cs="Segoe UI"/>
          <w:color w:val="242729"/>
          <w:sz w:val="23"/>
          <w:szCs w:val="23"/>
          <w:bdr w:val="none" w:sz="0" w:space="0" w:color="auto" w:frame="1"/>
        </w:rPr>
        <w:t>p</w:t>
      </w:r>
      <w:r w:rsidRPr="000A13A0">
        <w:rPr>
          <w:rFonts w:ascii="Segoe UI" w:eastAsia="Times New Roman" w:hAnsi="Segoe UI" w:cs="Segoe UI"/>
          <w:color w:val="242729"/>
          <w:sz w:val="23"/>
          <w:szCs w:val="23"/>
        </w:rPr>
        <w:t xml:space="preserve">-values is to use a </w:t>
      </w:r>
      <w:proofErr w:type="spellStart"/>
      <w:r w:rsidRPr="000A13A0">
        <w:rPr>
          <w:rFonts w:ascii="Segoe UI" w:eastAsia="Times New Roman" w:hAnsi="Segoe UI" w:cs="Segoe UI"/>
          <w:color w:val="242729"/>
          <w:sz w:val="23"/>
          <w:szCs w:val="23"/>
        </w:rPr>
        <w:t>studentized</w:t>
      </w:r>
      <w:proofErr w:type="spellEnd"/>
      <w:r w:rsidRPr="000A13A0">
        <w:rPr>
          <w:rFonts w:ascii="Segoe UI" w:eastAsia="Times New Roman" w:hAnsi="Segoe UI" w:cs="Segoe UI"/>
          <w:color w:val="242729"/>
          <w:sz w:val="23"/>
          <w:szCs w:val="23"/>
        </w:rPr>
        <w:t xml:space="preserve"> bootstrap. With each bootstrap iteration, calculate the statistic </w:t>
      </w:r>
      <w:r w:rsidRPr="000A13A0">
        <w:rPr>
          <w:rFonts w:ascii="inherit" w:eastAsia="Times New Roman" w:hAnsi="inherit" w:cs="Segoe UI"/>
          <w:i/>
          <w:iCs/>
          <w:color w:val="242729"/>
          <w:sz w:val="23"/>
          <w:szCs w:val="23"/>
          <w:bdr w:val="none" w:sz="0" w:space="0" w:color="auto" w:frame="1"/>
        </w:rPr>
        <w:t>and</w:t>
      </w:r>
      <w:r w:rsidRPr="000A13A0">
        <w:rPr>
          <w:rFonts w:ascii="Segoe UI" w:eastAsia="Times New Roman" w:hAnsi="Segoe UI" w:cs="Segoe UI"/>
          <w:color w:val="242729"/>
          <w:sz w:val="23"/>
          <w:szCs w:val="23"/>
        </w:rPr>
        <w:t xml:space="preserve"> its standard error and return the student statistic. This gives a bootstrapped student distribution for the hypothesis which can be used to calculate cis and p-values very easily. This also underlies the intuition behind the bias-corrected-accelerated bootstrap. The t-distribution shifts much more easily under the null since outlying results are </w:t>
      </w:r>
      <w:proofErr w:type="spellStart"/>
      <w:r w:rsidRPr="000A13A0">
        <w:rPr>
          <w:rFonts w:ascii="Segoe UI" w:eastAsia="Times New Roman" w:hAnsi="Segoe UI" w:cs="Segoe UI"/>
          <w:color w:val="242729"/>
          <w:sz w:val="23"/>
          <w:szCs w:val="23"/>
        </w:rPr>
        <w:t>downweighted</w:t>
      </w:r>
      <w:proofErr w:type="spellEnd"/>
      <w:r w:rsidRPr="000A13A0">
        <w:rPr>
          <w:rFonts w:ascii="Segoe UI" w:eastAsia="Times New Roman" w:hAnsi="Segoe UI" w:cs="Segoe UI"/>
          <w:color w:val="242729"/>
          <w:sz w:val="23"/>
          <w:szCs w:val="23"/>
        </w:rPr>
        <w:t xml:space="preserve"> by their corresponding high variance.</w:t>
      </w:r>
    </w:p>
    <w:p w:rsidR="00336ABA" w:rsidRDefault="00BE0AFF"/>
    <w:p w:rsidR="00BE0AFF" w:rsidRDefault="00BE0AFF" w:rsidP="00BE0AFF">
      <w:r>
        <w:t>hypothesis testing - Computing p-value using bootstrap with R - Cross Validated</w:t>
      </w:r>
    </w:p>
    <w:p w:rsidR="000A13A0" w:rsidRDefault="00BE0AFF" w:rsidP="00BE0AFF">
      <w:hyperlink r:id="rId4" w:history="1">
        <w:r w:rsidRPr="00EE703F">
          <w:rPr>
            <w:rStyle w:val="Hyperlink"/>
          </w:rPr>
          <w:t>https://stats.stackexchange.com/questions/20701/computing-p-value-using-bootstrap-with-r</w:t>
        </w:r>
      </w:hyperlink>
      <w:r>
        <w:t xml:space="preserve"> </w:t>
      </w:r>
      <w:bookmarkStart w:id="0" w:name="_GoBack"/>
      <w:bookmarkEnd w:id="0"/>
    </w:p>
    <w:sectPr w:rsidR="000A13A0" w:rsidSect="00C140FA">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BCD"/>
    <w:rsid w:val="000A13A0"/>
    <w:rsid w:val="003F6033"/>
    <w:rsid w:val="00720416"/>
    <w:rsid w:val="00786F2A"/>
    <w:rsid w:val="007A5BCD"/>
    <w:rsid w:val="008D2C6F"/>
    <w:rsid w:val="00BE0AFF"/>
    <w:rsid w:val="00C140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9268"/>
  <w15:chartTrackingRefBased/>
  <w15:docId w15:val="{B39468B1-6446-4C3E-B97A-33310A19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13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6033"/>
    <w:pPr>
      <w:keepNext/>
      <w:keepLines/>
      <w:widowControl w:val="0"/>
      <w:autoSpaceDE w:val="0"/>
      <w:autoSpaceDN w:val="0"/>
      <w:spacing w:before="40" w:after="0" w:line="240" w:lineRule="auto"/>
      <w:outlineLvl w:val="1"/>
    </w:pPr>
    <w:rPr>
      <w:rFonts w:asciiTheme="minorBidi" w:eastAsiaTheme="majorEastAsia" w:hAnsiTheme="minorBidi" w:cstheme="majorBidi"/>
      <w:color w:val="2E74B5" w:themeColor="accent1" w:themeShade="BF"/>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F6033"/>
    <w:rPr>
      <w:rFonts w:asciiTheme="minorBidi" w:eastAsiaTheme="majorEastAsia" w:hAnsiTheme="minorBidi" w:cstheme="majorBidi"/>
      <w:color w:val="2E74B5" w:themeColor="accent1" w:themeShade="BF"/>
      <w:sz w:val="26"/>
      <w:szCs w:val="26"/>
      <w:lang w:bidi="en-US"/>
    </w:rPr>
  </w:style>
  <w:style w:type="character" w:customStyle="1" w:styleId="Heading1Char">
    <w:name w:val="Heading 1 Char"/>
    <w:basedOn w:val="DefaultParagraphFont"/>
    <w:link w:val="Heading1"/>
    <w:uiPriority w:val="9"/>
    <w:rsid w:val="000A13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A13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13A0"/>
    <w:rPr>
      <w:i/>
      <w:iCs/>
    </w:rPr>
  </w:style>
  <w:style w:type="character" w:customStyle="1" w:styleId="mi">
    <w:name w:val="mi"/>
    <w:basedOn w:val="DefaultParagraphFont"/>
    <w:rsid w:val="000A13A0"/>
  </w:style>
  <w:style w:type="character" w:customStyle="1" w:styleId="mo">
    <w:name w:val="mo"/>
    <w:basedOn w:val="DefaultParagraphFont"/>
    <w:rsid w:val="000A13A0"/>
  </w:style>
  <w:style w:type="character" w:customStyle="1" w:styleId="mn">
    <w:name w:val="mn"/>
    <w:basedOn w:val="DefaultParagraphFont"/>
    <w:rsid w:val="000A13A0"/>
  </w:style>
  <w:style w:type="character" w:customStyle="1" w:styleId="mjxassistivemathml">
    <w:name w:val="mjx_assistive_mathml"/>
    <w:basedOn w:val="DefaultParagraphFont"/>
    <w:rsid w:val="000A13A0"/>
  </w:style>
  <w:style w:type="character" w:styleId="Strong">
    <w:name w:val="Strong"/>
    <w:basedOn w:val="DefaultParagraphFont"/>
    <w:uiPriority w:val="22"/>
    <w:qFormat/>
    <w:rsid w:val="000A13A0"/>
    <w:rPr>
      <w:b/>
      <w:bCs/>
    </w:rPr>
  </w:style>
  <w:style w:type="character" w:styleId="Hyperlink">
    <w:name w:val="Hyperlink"/>
    <w:basedOn w:val="DefaultParagraphFont"/>
    <w:uiPriority w:val="99"/>
    <w:unhideWhenUsed/>
    <w:rsid w:val="00BE0A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11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ts.stackexchange.com/questions/20701/computing-p-value-using-bootstrap-wit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santarabantoosoo</dc:creator>
  <cp:keywords/>
  <dc:description/>
  <cp:lastModifiedBy>santarabantoosoo</cp:lastModifiedBy>
  <cp:revision>3</cp:revision>
  <dcterms:created xsi:type="dcterms:W3CDTF">2021-07-04T22:41:00Z</dcterms:created>
  <dcterms:modified xsi:type="dcterms:W3CDTF">2021-07-04T22:42:00Z</dcterms:modified>
</cp:coreProperties>
</file>