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Response to Subject-Matter-Expert Review</w:t>
      </w:r>
    </w:p>
    <w:p>
      <w:pPr>
        <w:pBdr>
          <w:bottom w:val="single" w:color="0E7C86" w:sz="6" w:space="4"/>
        </w:pBdr>
        <w:spacing w:after="160"/>
      </w:pPr>
      <w:r>
        <w:rPr>
          <w:color w:val="0E7C86"/>
          <w:sz w:val="24"/>
          <w:szCs w:val="24"/>
        </w:rPr>
        <w:t xml:space="preserve">Organizational Trust Quotient® (OTQ) — Capstone Project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Team:  </w:t>
      </w:r>
      <w:r>
        <w:rPr>
          <w:sz w:val="22"/>
          <w:szCs w:val="22"/>
        </w:rPr>
        <w:t xml:space="preserve">Vernon T. Cox · Srilatha Alla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Program:  </w:t>
      </w:r>
      <w:r>
        <w:rPr>
          <w:sz w:val="22"/>
          <w:szCs w:val="22"/>
        </w:rPr>
        <w:t xml:space="preserve">CNM Ingenuity Data Science Bootcamp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Subject-Matter Expert:  </w:t>
      </w:r>
      <w:r>
        <w:rPr>
          <w:sz w:val="22"/>
          <w:szCs w:val="22"/>
        </w:rPr>
        <w:t xml:space="preserve">Prof. Robert G. DelCampo, Ph.D. — Rutledge Professor of Management, Anderson School of Management, UNM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Artifact updated:  </w:t>
      </w:r>
      <w:r>
        <w:rPr>
          <w:sz w:val="22"/>
          <w:szCs w:val="22"/>
        </w:rPr>
        <w:t xml:space="preserve">OTQ_Working_Copy_v10.ipynb  (code + embedded documentation)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Date:  </w:t>
      </w:r>
      <w:r>
        <w:rPr>
          <w:sz w:val="22"/>
          <w:szCs w:val="22"/>
        </w:rPr>
        <w:t xml:space="preserve">June 10, 2026</w:t>
      </w:r>
    </w:p>
    <w:p>
      <w:pPr>
        <w:pStyle w:val="Heading1"/>
      </w:pPr>
      <w:r>
        <w:t xml:space="preserve">Purpose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records the feedback provided by Prof. Robert G. DelCampo during his subject-matter-expert review of the OTQ capstone and maps each observation to the corresponding update made in version 10 of the project notebook. Prof. DelCampo assessed the work as well-constructed and disciplined, with a complete and defensible end-to-end pipeline. His feedback concentrated on a single, well-founded concern — the construct-validity bridge between what OTQ measures and what it claims — which the v10 revision addresses directly through reframing, a dedicated construct-validity treatment, and a runnable convergent-validity scaffold.</w:t>
      </w:r>
    </w:p>
    <w:p>
      <w:pPr>
        <w:pStyle w:val="Heading1"/>
      </w:pPr>
      <w:r>
        <w:t xml:space="preserve">Strengths Acknowledged (No Change Required)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Prof. DelCampo affirmed the following aspects of the project; these were retained unchanged in v10: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complete, defensible pipeline: multi-source ingestion, a normalized event schema, principled feature engineering, a justified modeling choice, and honest evaluation.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correct and well-stated argument for Ridge regression over ordinary least squares under multicollinearity.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thoughtful, privacy-by-design posture and a clever, reproducible benchmark fixture.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Full coverage of the capstone rubric (Section 7).</w:t>
      </w:r>
    </w:p>
    <w:p>
      <w:pPr>
        <w:pStyle w:val="Heading1"/>
      </w:pPr>
      <w:r>
        <w:t xml:space="preserve">Comment-to-Update Crosswalk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row pairs an observation from the review with the specific change implemented in v10.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0"/>
        <w:gridCol w:w="5240"/>
      </w:tblGrid>
      <w:tr>
        <w:trPr>
          <w:tblHeader/>
        </w:trP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Reviewer Observation — Prof. DelCampo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Update Implemented in v10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Construct-validity gap (the core issue): OTQ adopts trust as a psychological disposition (Mayer, Davis &amp; Schoorman, 1995) but operationalizes it through behavioral byproducts and validates against a behavioral proxy (median response time). The “trust” label is asserted by theoretical analogy rather than demonstrated (Cronbach &amp; Meehl, 1955; MacKenzie et al., 2011).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central claim is reframed across six cells: OTQ now directly measures communication engagement and predicts organizational responsiveness, with trust positioned as the theorized upstream construct — not a quantity measured directly. A new “What OTQ Measures — A Note on Construct Scope” section states this plainly, and a full “Construct Validity &amp; Planned Convergent-Validity Study” section names the measurement framework (Cronbach &amp; Meehl, 1955; MacKenzie et al., 2011).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 earn the word “trust,” the OTQ score must converge with a validated trust or psychological-safety instrument (e.g., Edmondson’s 1999 scale) administered to the same teams.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convergent-validity protocol is documented: administer Edmondson’s (1999) seven-item psychological-safety scale (and/or a Mayer-based trust scale), aggregate OTQ to the same team and window, and correlate (Pearson/Spearman) with a pre-registered positive prediction. A runnable scaffold cell operationalizes this and computes the correlation when survey data is supplied.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Recommendation (a): reframe the claim to a communication-engagement signal predictive of organizational responsiveness.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Implemented. All “trust signal” and “proxy for trust” wording was removed and replaced with “engagement weight,” “responsiveness outcome,” and explicit “theorized construct” framing in the overview, EU-scoring, feature-engineering, modeling, and summary sections.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Recommendation (b): add a small convergent-validity study correlating OTQ against a short validated trust/psychological-safety survey on at least one real team — the step that converts the trademark into a defensible construct.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Operationalized as a defined next step plus a non-fabricating scaffold cell. On the synthetic benchmark it reports that the criterion measure is absent and prints the exact protocol; with a real survey export it computes the convergent-validity correlation. No validity evidence is manufactured.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Levels of analysis (Chan, 1998): be explicit about the level at which the construct is measured and how individual signals compose to a team-level construct.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subsection notes that OTQ currently operates at the daily / team-aggregate level and calls for an explicit composition model (e.g., direct-consensus vs. referent-shift) when aggregating to the team level. Added as a planned next step.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Common-method concern (Podsakoff et al., 2003): predictors and outcome are both drawn from the same communication stream, which can inflate their association.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new subsection acknowledges the shared-method dependency between the engagement features and the response-time outcome, and identifies the independent survey criterion as the remedy that breaks it.</w:t>
            </w:r>
          </w:p>
        </w:tc>
      </w:tr>
      <w:tr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Suggested literature to ground the construct-validity argument.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Four sources were added to the notebook references: Cronbach &amp; Meehl (1955); MacKenzie, Podsakoff &amp; Podsakoff (2011); Chan (1998); and Podsakoff et al. (2003). Mayer et al. (1995), Edmondson (1999), and Dirks &amp; Ferrin (2002) were already cited.</w:t>
            </w:r>
          </w:p>
        </w:tc>
      </w:tr>
    </w:tbl>
    <w:p>
      <w:pPr>
        <w:pStyle w:val="Heading1"/>
        <w:spacing w:before="280"/>
      </w:pPr>
      <w:r>
        <w:t xml:space="preserve">Summary of New Material Added in v10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Scope note. </w:t>
      </w:r>
      <w:r>
        <w:rPr>
          <w:sz w:val="22"/>
          <w:szCs w:val="22"/>
        </w:rPr>
        <w:t xml:space="preserve">“What OTQ Measures — A Note on Construct Scope” distinguishes what is directly measured (engagement, responsiveness) from what is theorized (trust).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Construct-validity section. </w:t>
      </w:r>
      <w:r>
        <w:rPr>
          <w:sz w:val="22"/>
          <w:szCs w:val="22"/>
        </w:rPr>
        <w:t xml:space="preserve">A dedicated section covering the construct-validity question, the convergent-validity protocol, levels of analysis (Chan, 1998), and common-method variance (Podsakoff et al., 2003), with key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Convergent-validity scaffold. </w:t>
      </w:r>
      <w:r>
        <w:rPr>
          <w:sz w:val="22"/>
          <w:szCs w:val="22"/>
        </w:rPr>
        <w:t xml:space="preserve">A runnable cell that prints the validation protocol when no survey is present and computes the OTQ-vs-survey correlation when one is supplied — without fabricating evidence.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Strengthened limitations and next steps. </w:t>
      </w:r>
      <w:r>
        <w:rPr>
          <w:sz w:val="22"/>
          <w:szCs w:val="22"/>
        </w:rPr>
        <w:t xml:space="preserve">The summary now names the unvalidated label and lists the convergent-validity study and a levels-of-analysis composition model as concrete next steps.</w:t>
      </w:r>
    </w:p>
    <w:p>
      <w:pPr>
        <w:pStyle w:val="Heading1"/>
      </w:pPr>
      <w:r>
        <w:t xml:space="preserve">Open Item for Follow-Up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Of the three questions posed to the SME — construct validity, the inferential chain, and the ethics of behavioral measurement — the written review thoroughly addressed the first two (his answer to the “weakest link” question is the metadata-to-trust leap above). The third question, on whether the privacy guardrails meet corporate standards, was not substantively addressed in this reply and is planned as a brief, targeted follow-up.</w:t>
      </w:r>
    </w:p>
    <w:p>
      <w:pPr>
        <w:spacing w:after="20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consistency, the same construct-validity reframing is queued for the capstone proposal document so that the proposal and notebook present a single, aligned claim.</w:t>
      </w:r>
    </w:p>
    <w:p>
      <w:pPr>
        <w:pStyle w:val="Heading1"/>
      </w:pPr>
      <w:r>
        <w:t xml:space="preserve">References Added or Reaffirmed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Chan, D. (1998). Functional relations among constructs in the same content domain at different levels of analysis: A typology of composition models. Journal of Applied Psychology, 83(2), 234–246.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Cronbach, L. J., &amp; Meehl, P. E. (1955). Construct validity in psychological tests. Psychological Bulletin, 52(4), 281–302.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Dirks, K. T., &amp; Ferrin, D. L. (2002). Trust in leadership: Meta-analytic findings and implications for research and practice. Journal of Applied Psychology, 87(4), 611–628.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Edmondson, A. (1999). Psychological safety and learning behavior in work teams. Administrative Science Quarterly, 44(2), 350–383.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MacKenzie, S. B., Podsakoff, P. M., &amp; Podsakoff, N. P. (2011). Construct measurement and validation procedures in MIS and behavioral research. MIS Quarterly, 35(2), 293–334.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Mayer, R. C., Davis, J. H., &amp; Schoorman, F. D. (1995). An integrative model of organizational trust. Academy of Management Review, 20(3), 709–734.</w:t>
      </w:r>
    </w:p>
    <w:p>
      <w:pPr>
        <w:spacing w:after="100" w:line="264"/>
        <w:ind w:left="460" w:hanging="460"/>
      </w:pPr>
      <w:r>
        <w:rPr>
          <w:sz w:val="20"/>
          <w:szCs w:val="20"/>
        </w:rPr>
        <w:t xml:space="preserve">Podsakoff, P. M., MacKenzie, S. B., Lee, J.-Y., &amp; Podsakoff, N. P. (2003). Common method biases in behavioral research: A critical review of the literature and recommended remedies. Journal of Applied Psychology, 88(5), 879–903.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Prepared by Vernon T. Cox and Srilatha Alla · CNM Ingenuity Data Science Bootcamp · OTQ Capstone Project</w:t>
      </w:r>
    </w:p>
    <w:p>
      <w:r>
        <w:rPr>
          <w:i/>
          <w:iCs/>
          <w:color w:val="666666"/>
          <w:sz w:val="18"/>
          <w:szCs w:val="18"/>
        </w:rPr>
        <w:t xml:space="preserve">The Organizational Trust Quotient® is a proprietary and trademarked methodology. All scoring logic, lexicon design, and interpretive frameworks remain the intellectual property of Vernon T. Cox.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86" w:sz="4" w:space="6"/>
      </w:pBdr>
      <w:tabs>
        <w:tab w:val="right" w:pos="9360"/>
      </w:tabs>
    </w:pPr>
    <w:r>
      <w:rPr>
        <w:color w:val="666666"/>
        <w:sz w:val="16"/>
        <w:szCs w:val="16"/>
      </w:rPr>
      <w:t xml:space="preserve">Organizational Trust Quotient® — SME Review Response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OTQ Capstone — SME Review Response</dc:title>
  <dc:creator>Vernon T. Cox</dc:creator>
  <cp:lastModifiedBy>Un-named</cp:lastModifiedBy>
  <cp:revision>1</cp:revision>
  <dcterms:created xsi:type="dcterms:W3CDTF">2026-06-10T11:37:12.646Z</dcterms:created>
  <dcterms:modified xsi:type="dcterms:W3CDTF">2026-06-10T11:37:12.646Z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