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4F6B6" w14:textId="77777777" w:rsidR="00D65D47" w:rsidRDefault="00000000">
      <w:pPr>
        <w:spacing w:after="80"/>
        <w:jc w:val="center"/>
      </w:pPr>
      <w:r>
        <w:rPr>
          <w:b/>
          <w:bCs/>
          <w:color w:val="0F6E56"/>
          <w:sz w:val="36"/>
          <w:szCs w:val="36"/>
        </w:rPr>
        <w:t>New Mexico Quantum Technologies Award</w:t>
      </w:r>
    </w:p>
    <w:p w14:paraId="4C4993AF" w14:textId="77777777" w:rsidR="00D65D47" w:rsidRDefault="00000000">
      <w:pPr>
        <w:spacing w:after="60"/>
        <w:jc w:val="center"/>
      </w:pPr>
      <w:r>
        <w:rPr>
          <w:b/>
          <w:bCs/>
          <w:color w:val="1A1A1A"/>
          <w:sz w:val="28"/>
          <w:szCs w:val="28"/>
        </w:rPr>
        <w:t>Budget Narrative</w:t>
      </w:r>
    </w:p>
    <w:p w14:paraId="3DB38C3F" w14:textId="77777777" w:rsidR="00D65D47" w:rsidRDefault="00000000">
      <w:pPr>
        <w:spacing w:after="120"/>
        <w:jc w:val="center"/>
      </w:pPr>
      <w:r>
        <w:rPr>
          <w:color w:val="595959"/>
        </w:rPr>
        <w:t>SanTed Quantum Scheduling (</w:t>
      </w:r>
      <w:proofErr w:type="gramStart"/>
      <w:r>
        <w:rPr>
          <w:color w:val="595959"/>
        </w:rPr>
        <w:t>SQS)  ·</w:t>
      </w:r>
      <w:proofErr w:type="gramEnd"/>
      <w:r>
        <w:rPr>
          <w:color w:val="595959"/>
        </w:rPr>
        <w:t xml:space="preserve">  2026 Program Year</w:t>
      </w:r>
    </w:p>
    <w:p w14:paraId="2C182767" w14:textId="77777777" w:rsidR="00D65D47" w:rsidRDefault="00D65D47">
      <w:pPr>
        <w:pBdr>
          <w:bottom w:val="single" w:sz="4" w:space="1" w:color="DDDDDD"/>
        </w:pBdr>
        <w:spacing w:before="160" w:after="160"/>
      </w:pPr>
    </w:p>
    <w:p w14:paraId="35AC5E14" w14:textId="77777777" w:rsidR="00D65D47" w:rsidRDefault="00000000">
      <w:pPr>
        <w:spacing w:before="60" w:after="60"/>
      </w:pPr>
      <w:r>
        <w:rPr>
          <w:b/>
          <w:bCs/>
          <w:color w:val="1A1A1A"/>
        </w:rPr>
        <w:t xml:space="preserve">Applicant: </w:t>
      </w:r>
      <w:r>
        <w:rPr>
          <w:color w:val="595959"/>
        </w:rPr>
        <w:t>SanTed Quantum Scheduling (SQS)</w:t>
      </w:r>
    </w:p>
    <w:p w14:paraId="30A1FFEE" w14:textId="77777777" w:rsidR="00D65D47" w:rsidRDefault="00000000">
      <w:pPr>
        <w:spacing w:before="60" w:after="60"/>
      </w:pPr>
      <w:r>
        <w:rPr>
          <w:b/>
          <w:bCs/>
          <w:color w:val="1A1A1A"/>
        </w:rPr>
        <w:t xml:space="preserve">Principal contact: </w:t>
      </w:r>
      <w:r>
        <w:rPr>
          <w:color w:val="595959"/>
        </w:rPr>
        <w:t>Vernon T. Cox, DBA</w:t>
      </w:r>
    </w:p>
    <w:p w14:paraId="51E41F0F" w14:textId="77777777" w:rsidR="00D65D47" w:rsidRDefault="00000000">
      <w:pPr>
        <w:spacing w:before="60" w:after="60"/>
      </w:pPr>
      <w:r>
        <w:rPr>
          <w:b/>
          <w:bCs/>
          <w:color w:val="1A1A1A"/>
        </w:rPr>
        <w:t xml:space="preserve">Address: </w:t>
      </w:r>
      <w:r>
        <w:rPr>
          <w:color w:val="595959"/>
        </w:rPr>
        <w:t>2145 Isleta Blvd SW, Albuquerque, NM 87105-4643</w:t>
      </w:r>
    </w:p>
    <w:p w14:paraId="378854DF" w14:textId="77777777" w:rsidR="00D65D47" w:rsidRDefault="00000000">
      <w:pPr>
        <w:spacing w:before="60" w:after="60"/>
      </w:pPr>
      <w:r>
        <w:rPr>
          <w:b/>
          <w:bCs/>
          <w:color w:val="1A1A1A"/>
        </w:rPr>
        <w:t xml:space="preserve">EIN: </w:t>
      </w:r>
      <w:r>
        <w:rPr>
          <w:color w:val="595959"/>
        </w:rPr>
        <w:t>20-1529126</w:t>
      </w:r>
    </w:p>
    <w:p w14:paraId="042CC15D" w14:textId="77777777" w:rsidR="00D65D47" w:rsidRDefault="00000000">
      <w:pPr>
        <w:spacing w:before="60" w:after="60"/>
      </w:pPr>
      <w:r>
        <w:rPr>
          <w:b/>
          <w:bCs/>
          <w:color w:val="1A1A1A"/>
        </w:rPr>
        <w:t xml:space="preserve">NM Business Tax ID (BTIN): </w:t>
      </w:r>
      <w:r>
        <w:rPr>
          <w:color w:val="595959"/>
        </w:rPr>
        <w:t>03-194279-00-2</w:t>
      </w:r>
    </w:p>
    <w:p w14:paraId="4402B1CD" w14:textId="77777777" w:rsidR="00D65D47" w:rsidRDefault="00000000">
      <w:pPr>
        <w:spacing w:before="60" w:after="60"/>
      </w:pPr>
      <w:r>
        <w:rPr>
          <w:b/>
          <w:bCs/>
          <w:color w:val="1A1A1A"/>
        </w:rPr>
        <w:t xml:space="preserve">Requested award amount: </w:t>
      </w:r>
      <w:r>
        <w:rPr>
          <w:color w:val="595959"/>
        </w:rPr>
        <w:t>$200,000</w:t>
      </w:r>
    </w:p>
    <w:p w14:paraId="366BD4F9" w14:textId="77777777" w:rsidR="00D65D47" w:rsidRDefault="00D65D47">
      <w:pPr>
        <w:pBdr>
          <w:bottom w:val="single" w:sz="4" w:space="1" w:color="DDDDDD"/>
        </w:pBdr>
        <w:spacing w:before="160" w:after="160"/>
      </w:pPr>
    </w:p>
    <w:p w14:paraId="61D62394" w14:textId="77777777" w:rsidR="00D65D47" w:rsidRDefault="00000000">
      <w:pPr>
        <w:pStyle w:val="Heading1"/>
      </w:pPr>
      <w:r>
        <w:rPr>
          <w:color w:val="0F6E56"/>
        </w:rPr>
        <w:t>Prior TIO funding</w:t>
      </w:r>
    </w:p>
    <w:p w14:paraId="6F1FDDC6" w14:textId="77777777" w:rsidR="00D65D47" w:rsidRDefault="00000000">
      <w:pPr>
        <w:spacing w:before="80" w:after="120"/>
      </w:pPr>
      <w:r>
        <w:rPr>
          <w:color w:val="595959"/>
        </w:rPr>
        <w:t>SQS is not currently receiving funding from the New Mexico Technology &amp; Innovation Office. The NMQTA award would be SQS's first TIO engagement.</w:t>
      </w:r>
    </w:p>
    <w:p w14:paraId="348BDC2F" w14:textId="77777777" w:rsidR="00D65D47" w:rsidRDefault="00D65D47">
      <w:pPr>
        <w:pBdr>
          <w:bottom w:val="single" w:sz="4" w:space="1" w:color="DDDDDD"/>
        </w:pBdr>
        <w:spacing w:before="160" w:after="160"/>
      </w:pPr>
    </w:p>
    <w:p w14:paraId="748AB63C" w14:textId="77777777" w:rsidR="00D65D47" w:rsidRDefault="00000000">
      <w:pPr>
        <w:pStyle w:val="Heading1"/>
      </w:pPr>
      <w:r>
        <w:rPr>
          <w:color w:val="0F6E56"/>
        </w:rPr>
        <w:t>Overall scope of work</w:t>
      </w:r>
    </w:p>
    <w:p w14:paraId="087E20B9" w14:textId="77777777" w:rsidR="00D65D47" w:rsidRDefault="00000000">
      <w:pPr>
        <w:spacing w:before="80" w:after="120"/>
      </w:pPr>
      <w:r>
        <w:rPr>
          <w:color w:val="595959"/>
        </w:rPr>
        <w:t xml:space="preserve">The 12-month grant period is structured around four quarterly milestones that move SQS from prototype stage to a pilot-validated, quantum-integrated scheduling MVP with commercial fleet operators. Every </w:t>
      </w:r>
      <w:proofErr w:type="gramStart"/>
      <w:r>
        <w:rPr>
          <w:color w:val="595959"/>
        </w:rPr>
        <w:t>budget line</w:t>
      </w:r>
      <w:proofErr w:type="gramEnd"/>
      <w:r>
        <w:rPr>
          <w:color w:val="595959"/>
        </w:rPr>
        <w:t xml:space="preserve"> item is tied directly to a milestone deliverable, and every </w:t>
      </w:r>
      <w:proofErr w:type="gramStart"/>
      <w:r>
        <w:rPr>
          <w:color w:val="595959"/>
        </w:rPr>
        <w:t>deliverable</w:t>
      </w:r>
      <w:proofErr w:type="gramEnd"/>
      <w:r>
        <w:rPr>
          <w:color w:val="595959"/>
        </w:rPr>
        <w:t xml:space="preserve"> is designed to produce tangible artifacts — signed pilot agreements, benchmark reports, patent filings, and documented ROI results — that can be reviewed and verified by TIO.</w:t>
      </w:r>
    </w:p>
    <w:p w14:paraId="69BA15AC" w14:textId="77777777" w:rsidR="00D65D47" w:rsidRDefault="00D65D47">
      <w:pPr>
        <w:pBdr>
          <w:bottom w:val="single" w:sz="4" w:space="1" w:color="DDDDDD"/>
        </w:pBdr>
        <w:spacing w:before="160" w:after="160"/>
      </w:pPr>
    </w:p>
    <w:p w14:paraId="22DE57BB" w14:textId="77777777" w:rsidR="00D65D47" w:rsidRDefault="00000000">
      <w:pPr>
        <w:pStyle w:val="Heading1"/>
      </w:pPr>
      <w:r>
        <w:rPr>
          <w:color w:val="0F6E56"/>
        </w:rPr>
        <w:t>Budget summary</w:t>
      </w:r>
    </w:p>
    <w:p w14:paraId="46D85828" w14:textId="77777777" w:rsidR="00D65D47" w:rsidRDefault="00D65D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000"/>
        <w:gridCol w:w="1680"/>
        <w:gridCol w:w="1680"/>
      </w:tblGrid>
      <w:tr w:rsidR="00D65D47" w14:paraId="6C3CB16C" w14:textId="77777777">
        <w:tblPrEx>
          <w:tblCellMar>
            <w:top w:w="0" w:type="dxa"/>
            <w:bottom w:w="0" w:type="dxa"/>
          </w:tblCellMar>
        </w:tblPrEx>
        <w:trPr>
          <w:tblHeader/>
        </w:trPr>
        <w:tc>
          <w:tcPr>
            <w:tcW w:w="1000" w:type="dxa"/>
            <w:shd w:val="clear" w:color="auto" w:fill="0F6E56"/>
            <w:tcMar>
              <w:top w:w="80" w:type="dxa"/>
              <w:left w:w="120" w:type="dxa"/>
              <w:bottom w:w="80" w:type="dxa"/>
              <w:right w:w="120" w:type="dxa"/>
            </w:tcMar>
          </w:tcPr>
          <w:p w14:paraId="74BACB59" w14:textId="77777777" w:rsidR="00D65D47" w:rsidRDefault="00000000">
            <w:r>
              <w:rPr>
                <w:b/>
                <w:bCs/>
                <w:color w:val="FFFFFF"/>
                <w:sz w:val="20"/>
                <w:szCs w:val="20"/>
              </w:rPr>
              <w:t>Row</w:t>
            </w:r>
          </w:p>
        </w:tc>
        <w:tc>
          <w:tcPr>
            <w:tcW w:w="5000" w:type="dxa"/>
            <w:shd w:val="clear" w:color="auto" w:fill="0F6E56"/>
            <w:tcMar>
              <w:top w:w="80" w:type="dxa"/>
              <w:left w:w="120" w:type="dxa"/>
              <w:bottom w:w="80" w:type="dxa"/>
              <w:right w:w="120" w:type="dxa"/>
            </w:tcMar>
          </w:tcPr>
          <w:p w14:paraId="3D1806D9" w14:textId="77777777" w:rsidR="00D65D47" w:rsidRDefault="00000000">
            <w:pPr>
              <w:jc w:val="right"/>
            </w:pPr>
            <w:r>
              <w:rPr>
                <w:b/>
                <w:bCs/>
                <w:color w:val="FFFFFF"/>
                <w:sz w:val="20"/>
                <w:szCs w:val="20"/>
              </w:rPr>
              <w:t>Line item</w:t>
            </w:r>
          </w:p>
        </w:tc>
        <w:tc>
          <w:tcPr>
            <w:tcW w:w="1680" w:type="dxa"/>
            <w:shd w:val="clear" w:color="auto" w:fill="0F6E56"/>
            <w:tcMar>
              <w:top w:w="80" w:type="dxa"/>
              <w:left w:w="120" w:type="dxa"/>
              <w:bottom w:w="80" w:type="dxa"/>
              <w:right w:w="120" w:type="dxa"/>
            </w:tcMar>
          </w:tcPr>
          <w:p w14:paraId="5DCB93DD" w14:textId="77777777" w:rsidR="00D65D47" w:rsidRDefault="00000000">
            <w:pPr>
              <w:jc w:val="right"/>
            </w:pPr>
            <w:r>
              <w:rPr>
                <w:b/>
                <w:bCs/>
                <w:color w:val="FFFFFF"/>
                <w:sz w:val="20"/>
                <w:szCs w:val="20"/>
              </w:rPr>
              <w:t>Amount</w:t>
            </w:r>
          </w:p>
        </w:tc>
        <w:tc>
          <w:tcPr>
            <w:tcW w:w="1680" w:type="dxa"/>
            <w:shd w:val="clear" w:color="auto" w:fill="0F6E56"/>
            <w:tcMar>
              <w:top w:w="80" w:type="dxa"/>
              <w:left w:w="120" w:type="dxa"/>
              <w:bottom w:w="80" w:type="dxa"/>
              <w:right w:w="120" w:type="dxa"/>
            </w:tcMar>
          </w:tcPr>
          <w:p w14:paraId="65F467BD" w14:textId="77777777" w:rsidR="00D65D47" w:rsidRDefault="00000000">
            <w:pPr>
              <w:jc w:val="right"/>
            </w:pPr>
            <w:r>
              <w:rPr>
                <w:b/>
                <w:bCs/>
                <w:color w:val="FFFFFF"/>
                <w:sz w:val="20"/>
                <w:szCs w:val="20"/>
              </w:rPr>
              <w:t>% of award</w:t>
            </w:r>
          </w:p>
        </w:tc>
      </w:tr>
      <w:tr w:rsidR="00D65D47" w14:paraId="52330E06" w14:textId="77777777">
        <w:tblPrEx>
          <w:tblCellMar>
            <w:top w:w="0" w:type="dxa"/>
            <w:bottom w:w="0" w:type="dxa"/>
          </w:tblCellMar>
        </w:tblPrEx>
        <w:tc>
          <w:tcPr>
            <w:tcW w:w="1000" w:type="dxa"/>
            <w:shd w:val="clear" w:color="auto" w:fill="F5F5F5"/>
            <w:tcMar>
              <w:top w:w="80" w:type="dxa"/>
              <w:left w:w="120" w:type="dxa"/>
              <w:bottom w:w="80" w:type="dxa"/>
              <w:right w:w="120" w:type="dxa"/>
            </w:tcMar>
          </w:tcPr>
          <w:p w14:paraId="6F6F6E6C" w14:textId="77777777" w:rsidR="00D65D47" w:rsidRDefault="00000000">
            <w:r>
              <w:rPr>
                <w:color w:val="595959"/>
                <w:sz w:val="20"/>
                <w:szCs w:val="20"/>
              </w:rPr>
              <w:t>7</w:t>
            </w:r>
          </w:p>
        </w:tc>
        <w:tc>
          <w:tcPr>
            <w:tcW w:w="5000" w:type="dxa"/>
            <w:shd w:val="clear" w:color="auto" w:fill="F5F5F5"/>
            <w:tcMar>
              <w:top w:w="80" w:type="dxa"/>
              <w:left w:w="120" w:type="dxa"/>
              <w:bottom w:w="80" w:type="dxa"/>
              <w:right w:w="120" w:type="dxa"/>
            </w:tcMar>
          </w:tcPr>
          <w:p w14:paraId="20EC1E8C" w14:textId="77777777" w:rsidR="00D65D47" w:rsidRDefault="00000000">
            <w:pPr>
              <w:jc w:val="right"/>
            </w:pPr>
            <w:r>
              <w:rPr>
                <w:color w:val="595959"/>
                <w:sz w:val="20"/>
                <w:szCs w:val="20"/>
              </w:rPr>
              <w:t>Quantum algorithms engineer (12-month partial salary)</w:t>
            </w:r>
          </w:p>
        </w:tc>
        <w:tc>
          <w:tcPr>
            <w:tcW w:w="1680" w:type="dxa"/>
            <w:shd w:val="clear" w:color="auto" w:fill="F5F5F5"/>
            <w:tcMar>
              <w:top w:w="80" w:type="dxa"/>
              <w:left w:w="120" w:type="dxa"/>
              <w:bottom w:w="80" w:type="dxa"/>
              <w:right w:w="120" w:type="dxa"/>
            </w:tcMar>
          </w:tcPr>
          <w:p w14:paraId="1D5C9756" w14:textId="77777777" w:rsidR="00D65D47" w:rsidRDefault="00000000">
            <w:pPr>
              <w:jc w:val="right"/>
            </w:pPr>
            <w:r>
              <w:rPr>
                <w:color w:val="595959"/>
                <w:sz w:val="20"/>
                <w:szCs w:val="20"/>
              </w:rPr>
              <w:t>$40,000</w:t>
            </w:r>
          </w:p>
        </w:tc>
        <w:tc>
          <w:tcPr>
            <w:tcW w:w="1680" w:type="dxa"/>
            <w:shd w:val="clear" w:color="auto" w:fill="F5F5F5"/>
            <w:tcMar>
              <w:top w:w="80" w:type="dxa"/>
              <w:left w:w="120" w:type="dxa"/>
              <w:bottom w:w="80" w:type="dxa"/>
              <w:right w:w="120" w:type="dxa"/>
            </w:tcMar>
          </w:tcPr>
          <w:p w14:paraId="042673BF" w14:textId="77777777" w:rsidR="00D65D47" w:rsidRDefault="00000000">
            <w:pPr>
              <w:jc w:val="right"/>
            </w:pPr>
            <w:r>
              <w:rPr>
                <w:color w:val="595959"/>
                <w:sz w:val="20"/>
                <w:szCs w:val="20"/>
              </w:rPr>
              <w:t>20%</w:t>
            </w:r>
          </w:p>
        </w:tc>
      </w:tr>
      <w:tr w:rsidR="00D65D47" w14:paraId="7FC1E762" w14:textId="77777777">
        <w:tblPrEx>
          <w:tblCellMar>
            <w:top w:w="0" w:type="dxa"/>
            <w:bottom w:w="0" w:type="dxa"/>
          </w:tblCellMar>
        </w:tblPrEx>
        <w:tc>
          <w:tcPr>
            <w:tcW w:w="1000" w:type="dxa"/>
            <w:shd w:val="clear" w:color="auto" w:fill="FFFFFF"/>
            <w:tcMar>
              <w:top w:w="80" w:type="dxa"/>
              <w:left w:w="120" w:type="dxa"/>
              <w:bottom w:w="80" w:type="dxa"/>
              <w:right w:w="120" w:type="dxa"/>
            </w:tcMar>
          </w:tcPr>
          <w:p w14:paraId="0BADD965" w14:textId="77777777" w:rsidR="00D65D47" w:rsidRDefault="00000000">
            <w:r>
              <w:rPr>
                <w:color w:val="595959"/>
                <w:sz w:val="20"/>
                <w:szCs w:val="20"/>
              </w:rPr>
              <w:t>8</w:t>
            </w:r>
          </w:p>
        </w:tc>
        <w:tc>
          <w:tcPr>
            <w:tcW w:w="5000" w:type="dxa"/>
            <w:shd w:val="clear" w:color="auto" w:fill="FFFFFF"/>
            <w:tcMar>
              <w:top w:w="80" w:type="dxa"/>
              <w:left w:w="120" w:type="dxa"/>
              <w:bottom w:w="80" w:type="dxa"/>
              <w:right w:w="120" w:type="dxa"/>
            </w:tcMar>
          </w:tcPr>
          <w:p w14:paraId="2779A9AC" w14:textId="77777777" w:rsidR="00D65D47" w:rsidRDefault="00000000">
            <w:pPr>
              <w:jc w:val="right"/>
            </w:pPr>
            <w:r>
              <w:rPr>
                <w:color w:val="595959"/>
                <w:sz w:val="20"/>
                <w:szCs w:val="20"/>
              </w:rPr>
              <w:t>D-Wave Leap API access &amp; quantum compute costs</w:t>
            </w:r>
          </w:p>
        </w:tc>
        <w:tc>
          <w:tcPr>
            <w:tcW w:w="1680" w:type="dxa"/>
            <w:shd w:val="clear" w:color="auto" w:fill="FFFFFF"/>
            <w:tcMar>
              <w:top w:w="80" w:type="dxa"/>
              <w:left w:w="120" w:type="dxa"/>
              <w:bottom w:w="80" w:type="dxa"/>
              <w:right w:w="120" w:type="dxa"/>
            </w:tcMar>
          </w:tcPr>
          <w:p w14:paraId="016EE4E2" w14:textId="77777777" w:rsidR="00D65D47" w:rsidRDefault="00000000">
            <w:pPr>
              <w:jc w:val="right"/>
            </w:pPr>
            <w:r>
              <w:rPr>
                <w:color w:val="595959"/>
                <w:sz w:val="20"/>
                <w:szCs w:val="20"/>
              </w:rPr>
              <w:t>$55,000</w:t>
            </w:r>
          </w:p>
        </w:tc>
        <w:tc>
          <w:tcPr>
            <w:tcW w:w="1680" w:type="dxa"/>
            <w:shd w:val="clear" w:color="auto" w:fill="FFFFFF"/>
            <w:tcMar>
              <w:top w:w="80" w:type="dxa"/>
              <w:left w:w="120" w:type="dxa"/>
              <w:bottom w:w="80" w:type="dxa"/>
              <w:right w:w="120" w:type="dxa"/>
            </w:tcMar>
          </w:tcPr>
          <w:p w14:paraId="164F6AD3" w14:textId="77777777" w:rsidR="00D65D47" w:rsidRDefault="00000000">
            <w:pPr>
              <w:jc w:val="right"/>
            </w:pPr>
            <w:r>
              <w:rPr>
                <w:color w:val="595959"/>
                <w:sz w:val="20"/>
                <w:szCs w:val="20"/>
              </w:rPr>
              <w:t>27.5%</w:t>
            </w:r>
          </w:p>
        </w:tc>
      </w:tr>
      <w:tr w:rsidR="00D65D47" w14:paraId="781059F4" w14:textId="77777777">
        <w:tblPrEx>
          <w:tblCellMar>
            <w:top w:w="0" w:type="dxa"/>
            <w:bottom w:w="0" w:type="dxa"/>
          </w:tblCellMar>
        </w:tblPrEx>
        <w:tc>
          <w:tcPr>
            <w:tcW w:w="1000" w:type="dxa"/>
            <w:shd w:val="clear" w:color="auto" w:fill="F5F5F5"/>
            <w:tcMar>
              <w:top w:w="80" w:type="dxa"/>
              <w:left w:w="120" w:type="dxa"/>
              <w:bottom w:w="80" w:type="dxa"/>
              <w:right w:w="120" w:type="dxa"/>
            </w:tcMar>
          </w:tcPr>
          <w:p w14:paraId="4CD691ED" w14:textId="77777777" w:rsidR="00D65D47" w:rsidRDefault="00000000">
            <w:r>
              <w:rPr>
                <w:color w:val="595959"/>
                <w:sz w:val="20"/>
                <w:szCs w:val="20"/>
              </w:rPr>
              <w:t>9</w:t>
            </w:r>
          </w:p>
        </w:tc>
        <w:tc>
          <w:tcPr>
            <w:tcW w:w="5000" w:type="dxa"/>
            <w:shd w:val="clear" w:color="auto" w:fill="F5F5F5"/>
            <w:tcMar>
              <w:top w:w="80" w:type="dxa"/>
              <w:left w:w="120" w:type="dxa"/>
              <w:bottom w:w="80" w:type="dxa"/>
              <w:right w:w="120" w:type="dxa"/>
            </w:tcMar>
          </w:tcPr>
          <w:p w14:paraId="5EA901F2" w14:textId="77777777" w:rsidR="00D65D47" w:rsidRDefault="00000000">
            <w:pPr>
              <w:jc w:val="right"/>
            </w:pPr>
            <w:r>
              <w:rPr>
                <w:color w:val="595959"/>
                <w:sz w:val="20"/>
                <w:szCs w:val="20"/>
              </w:rPr>
              <w:t>Software infrastructure (cloud, DevOps, security audit)</w:t>
            </w:r>
          </w:p>
        </w:tc>
        <w:tc>
          <w:tcPr>
            <w:tcW w:w="1680" w:type="dxa"/>
            <w:shd w:val="clear" w:color="auto" w:fill="F5F5F5"/>
            <w:tcMar>
              <w:top w:w="80" w:type="dxa"/>
              <w:left w:w="120" w:type="dxa"/>
              <w:bottom w:w="80" w:type="dxa"/>
              <w:right w:w="120" w:type="dxa"/>
            </w:tcMar>
          </w:tcPr>
          <w:p w14:paraId="14BC7A62" w14:textId="77777777" w:rsidR="00D65D47" w:rsidRDefault="00000000">
            <w:pPr>
              <w:jc w:val="right"/>
            </w:pPr>
            <w:r>
              <w:rPr>
                <w:color w:val="595959"/>
                <w:sz w:val="20"/>
                <w:szCs w:val="20"/>
              </w:rPr>
              <w:t>$40,000</w:t>
            </w:r>
          </w:p>
        </w:tc>
        <w:tc>
          <w:tcPr>
            <w:tcW w:w="1680" w:type="dxa"/>
            <w:shd w:val="clear" w:color="auto" w:fill="F5F5F5"/>
            <w:tcMar>
              <w:top w:w="80" w:type="dxa"/>
              <w:left w:w="120" w:type="dxa"/>
              <w:bottom w:w="80" w:type="dxa"/>
              <w:right w:w="120" w:type="dxa"/>
            </w:tcMar>
          </w:tcPr>
          <w:p w14:paraId="1DAFB06F" w14:textId="77777777" w:rsidR="00D65D47" w:rsidRDefault="00000000">
            <w:pPr>
              <w:jc w:val="right"/>
            </w:pPr>
            <w:r>
              <w:rPr>
                <w:color w:val="595959"/>
                <w:sz w:val="20"/>
                <w:szCs w:val="20"/>
              </w:rPr>
              <w:t>20%</w:t>
            </w:r>
          </w:p>
        </w:tc>
      </w:tr>
      <w:tr w:rsidR="00D65D47" w14:paraId="0CC5BDD4" w14:textId="77777777">
        <w:tblPrEx>
          <w:tblCellMar>
            <w:top w:w="0" w:type="dxa"/>
            <w:bottom w:w="0" w:type="dxa"/>
          </w:tblCellMar>
        </w:tblPrEx>
        <w:tc>
          <w:tcPr>
            <w:tcW w:w="1000" w:type="dxa"/>
            <w:shd w:val="clear" w:color="auto" w:fill="FFFFFF"/>
            <w:tcMar>
              <w:top w:w="80" w:type="dxa"/>
              <w:left w:w="120" w:type="dxa"/>
              <w:bottom w:w="80" w:type="dxa"/>
              <w:right w:w="120" w:type="dxa"/>
            </w:tcMar>
          </w:tcPr>
          <w:p w14:paraId="2657D85C" w14:textId="77777777" w:rsidR="00D65D47" w:rsidRDefault="00000000">
            <w:r>
              <w:rPr>
                <w:color w:val="595959"/>
                <w:sz w:val="20"/>
                <w:szCs w:val="20"/>
              </w:rPr>
              <w:t>10</w:t>
            </w:r>
          </w:p>
        </w:tc>
        <w:tc>
          <w:tcPr>
            <w:tcW w:w="5000" w:type="dxa"/>
            <w:shd w:val="clear" w:color="auto" w:fill="FFFFFF"/>
            <w:tcMar>
              <w:top w:w="80" w:type="dxa"/>
              <w:left w:w="120" w:type="dxa"/>
              <w:bottom w:w="80" w:type="dxa"/>
              <w:right w:w="120" w:type="dxa"/>
            </w:tcMar>
          </w:tcPr>
          <w:p w14:paraId="1313F87F" w14:textId="77777777" w:rsidR="00D65D47" w:rsidRDefault="00000000">
            <w:pPr>
              <w:jc w:val="right"/>
            </w:pPr>
            <w:r>
              <w:rPr>
                <w:color w:val="595959"/>
                <w:sz w:val="20"/>
                <w:szCs w:val="20"/>
              </w:rPr>
              <w:t>Commercial client pilot program (Republic, Greyhound)</w:t>
            </w:r>
          </w:p>
        </w:tc>
        <w:tc>
          <w:tcPr>
            <w:tcW w:w="1680" w:type="dxa"/>
            <w:shd w:val="clear" w:color="auto" w:fill="FFFFFF"/>
            <w:tcMar>
              <w:top w:w="80" w:type="dxa"/>
              <w:left w:w="120" w:type="dxa"/>
              <w:bottom w:w="80" w:type="dxa"/>
              <w:right w:w="120" w:type="dxa"/>
            </w:tcMar>
          </w:tcPr>
          <w:p w14:paraId="0030E706" w14:textId="77777777" w:rsidR="00D65D47" w:rsidRDefault="00000000">
            <w:pPr>
              <w:jc w:val="right"/>
            </w:pPr>
            <w:r>
              <w:rPr>
                <w:color w:val="595959"/>
                <w:sz w:val="20"/>
                <w:szCs w:val="20"/>
              </w:rPr>
              <w:t>$30,000</w:t>
            </w:r>
          </w:p>
        </w:tc>
        <w:tc>
          <w:tcPr>
            <w:tcW w:w="1680" w:type="dxa"/>
            <w:shd w:val="clear" w:color="auto" w:fill="FFFFFF"/>
            <w:tcMar>
              <w:top w:w="80" w:type="dxa"/>
              <w:left w:w="120" w:type="dxa"/>
              <w:bottom w:w="80" w:type="dxa"/>
              <w:right w:w="120" w:type="dxa"/>
            </w:tcMar>
          </w:tcPr>
          <w:p w14:paraId="6F1B7E36" w14:textId="77777777" w:rsidR="00D65D47" w:rsidRDefault="00000000">
            <w:pPr>
              <w:jc w:val="right"/>
            </w:pPr>
            <w:r>
              <w:rPr>
                <w:color w:val="595959"/>
                <w:sz w:val="20"/>
                <w:szCs w:val="20"/>
              </w:rPr>
              <w:t>15%</w:t>
            </w:r>
          </w:p>
        </w:tc>
      </w:tr>
      <w:tr w:rsidR="00D65D47" w14:paraId="4C3C7637" w14:textId="77777777">
        <w:tblPrEx>
          <w:tblCellMar>
            <w:top w:w="0" w:type="dxa"/>
            <w:bottom w:w="0" w:type="dxa"/>
          </w:tblCellMar>
        </w:tblPrEx>
        <w:tc>
          <w:tcPr>
            <w:tcW w:w="1000" w:type="dxa"/>
            <w:shd w:val="clear" w:color="auto" w:fill="F5F5F5"/>
            <w:tcMar>
              <w:top w:w="80" w:type="dxa"/>
              <w:left w:w="120" w:type="dxa"/>
              <w:bottom w:w="80" w:type="dxa"/>
              <w:right w:w="120" w:type="dxa"/>
            </w:tcMar>
          </w:tcPr>
          <w:p w14:paraId="19103892" w14:textId="77777777" w:rsidR="00D65D47" w:rsidRDefault="00000000">
            <w:r>
              <w:rPr>
                <w:color w:val="595959"/>
                <w:sz w:val="20"/>
                <w:szCs w:val="20"/>
              </w:rPr>
              <w:t>11</w:t>
            </w:r>
          </w:p>
        </w:tc>
        <w:tc>
          <w:tcPr>
            <w:tcW w:w="5000" w:type="dxa"/>
            <w:shd w:val="clear" w:color="auto" w:fill="F5F5F5"/>
            <w:tcMar>
              <w:top w:w="80" w:type="dxa"/>
              <w:left w:w="120" w:type="dxa"/>
              <w:bottom w:w="80" w:type="dxa"/>
              <w:right w:w="120" w:type="dxa"/>
            </w:tcMar>
          </w:tcPr>
          <w:p w14:paraId="1E57089E" w14:textId="77777777" w:rsidR="00D65D47" w:rsidRDefault="00000000">
            <w:pPr>
              <w:jc w:val="right"/>
            </w:pPr>
            <w:r>
              <w:rPr>
                <w:color w:val="595959"/>
                <w:sz w:val="20"/>
                <w:szCs w:val="20"/>
              </w:rPr>
              <w:t>IP and patent filing (QUBO scheduling formulation)</w:t>
            </w:r>
          </w:p>
        </w:tc>
        <w:tc>
          <w:tcPr>
            <w:tcW w:w="1680" w:type="dxa"/>
            <w:shd w:val="clear" w:color="auto" w:fill="F5F5F5"/>
            <w:tcMar>
              <w:top w:w="80" w:type="dxa"/>
              <w:left w:w="120" w:type="dxa"/>
              <w:bottom w:w="80" w:type="dxa"/>
              <w:right w:w="120" w:type="dxa"/>
            </w:tcMar>
          </w:tcPr>
          <w:p w14:paraId="0BF24522" w14:textId="77777777" w:rsidR="00D65D47" w:rsidRDefault="00000000">
            <w:pPr>
              <w:jc w:val="right"/>
            </w:pPr>
            <w:r>
              <w:rPr>
                <w:color w:val="595959"/>
                <w:sz w:val="20"/>
                <w:szCs w:val="20"/>
              </w:rPr>
              <w:t>$20,000</w:t>
            </w:r>
          </w:p>
        </w:tc>
        <w:tc>
          <w:tcPr>
            <w:tcW w:w="1680" w:type="dxa"/>
            <w:shd w:val="clear" w:color="auto" w:fill="F5F5F5"/>
            <w:tcMar>
              <w:top w:w="80" w:type="dxa"/>
              <w:left w:w="120" w:type="dxa"/>
              <w:bottom w:w="80" w:type="dxa"/>
              <w:right w:w="120" w:type="dxa"/>
            </w:tcMar>
          </w:tcPr>
          <w:p w14:paraId="6852D183" w14:textId="77777777" w:rsidR="00D65D47" w:rsidRDefault="00000000">
            <w:pPr>
              <w:jc w:val="right"/>
            </w:pPr>
            <w:r>
              <w:rPr>
                <w:color w:val="595959"/>
                <w:sz w:val="20"/>
                <w:szCs w:val="20"/>
              </w:rPr>
              <w:t>10%</w:t>
            </w:r>
          </w:p>
        </w:tc>
      </w:tr>
      <w:tr w:rsidR="00D65D47" w14:paraId="403D81A0" w14:textId="77777777">
        <w:tblPrEx>
          <w:tblCellMar>
            <w:top w:w="0" w:type="dxa"/>
            <w:bottom w:w="0" w:type="dxa"/>
          </w:tblCellMar>
        </w:tblPrEx>
        <w:tc>
          <w:tcPr>
            <w:tcW w:w="1000" w:type="dxa"/>
            <w:shd w:val="clear" w:color="auto" w:fill="FFFFFF"/>
            <w:tcMar>
              <w:top w:w="80" w:type="dxa"/>
              <w:left w:w="120" w:type="dxa"/>
              <w:bottom w:w="80" w:type="dxa"/>
              <w:right w:w="120" w:type="dxa"/>
            </w:tcMar>
          </w:tcPr>
          <w:p w14:paraId="468FFDD6" w14:textId="77777777" w:rsidR="00D65D47" w:rsidRDefault="00000000">
            <w:r>
              <w:rPr>
                <w:color w:val="595959"/>
                <w:sz w:val="20"/>
                <w:szCs w:val="20"/>
              </w:rPr>
              <w:lastRenderedPageBreak/>
              <w:t>12</w:t>
            </w:r>
          </w:p>
        </w:tc>
        <w:tc>
          <w:tcPr>
            <w:tcW w:w="5000" w:type="dxa"/>
            <w:shd w:val="clear" w:color="auto" w:fill="FFFFFF"/>
            <w:tcMar>
              <w:top w:w="80" w:type="dxa"/>
              <w:left w:w="120" w:type="dxa"/>
              <w:bottom w:w="80" w:type="dxa"/>
              <w:right w:w="120" w:type="dxa"/>
            </w:tcMar>
          </w:tcPr>
          <w:p w14:paraId="1D09DD20" w14:textId="77777777" w:rsidR="00D65D47" w:rsidRDefault="00000000">
            <w:pPr>
              <w:jc w:val="right"/>
            </w:pPr>
            <w:r>
              <w:rPr>
                <w:color w:val="595959"/>
                <w:sz w:val="20"/>
                <w:szCs w:val="20"/>
              </w:rPr>
              <w:t>Conferences and trade shows (fleet / logistics industry)</w:t>
            </w:r>
          </w:p>
        </w:tc>
        <w:tc>
          <w:tcPr>
            <w:tcW w:w="1680" w:type="dxa"/>
            <w:shd w:val="clear" w:color="auto" w:fill="FFFFFF"/>
            <w:tcMar>
              <w:top w:w="80" w:type="dxa"/>
              <w:left w:w="120" w:type="dxa"/>
              <w:bottom w:w="80" w:type="dxa"/>
              <w:right w:w="120" w:type="dxa"/>
            </w:tcMar>
          </w:tcPr>
          <w:p w14:paraId="1E74DB0F" w14:textId="77777777" w:rsidR="00D65D47" w:rsidRDefault="00000000">
            <w:pPr>
              <w:jc w:val="right"/>
            </w:pPr>
            <w:r>
              <w:rPr>
                <w:color w:val="595959"/>
                <w:sz w:val="20"/>
                <w:szCs w:val="20"/>
              </w:rPr>
              <w:t>$15,000</w:t>
            </w:r>
          </w:p>
        </w:tc>
        <w:tc>
          <w:tcPr>
            <w:tcW w:w="1680" w:type="dxa"/>
            <w:shd w:val="clear" w:color="auto" w:fill="FFFFFF"/>
            <w:tcMar>
              <w:top w:w="80" w:type="dxa"/>
              <w:left w:w="120" w:type="dxa"/>
              <w:bottom w:w="80" w:type="dxa"/>
              <w:right w:w="120" w:type="dxa"/>
            </w:tcMar>
          </w:tcPr>
          <w:p w14:paraId="04049E67" w14:textId="77777777" w:rsidR="00D65D47" w:rsidRDefault="00000000">
            <w:pPr>
              <w:jc w:val="right"/>
            </w:pPr>
            <w:r>
              <w:rPr>
                <w:color w:val="595959"/>
                <w:sz w:val="20"/>
                <w:szCs w:val="20"/>
              </w:rPr>
              <w:t>7.5%</w:t>
            </w:r>
          </w:p>
        </w:tc>
      </w:tr>
      <w:tr w:rsidR="00D65D47" w14:paraId="48C2833C" w14:textId="77777777">
        <w:tblPrEx>
          <w:tblCellMar>
            <w:top w:w="0" w:type="dxa"/>
            <w:bottom w:w="0" w:type="dxa"/>
          </w:tblCellMar>
        </w:tblPrEx>
        <w:tc>
          <w:tcPr>
            <w:tcW w:w="1000" w:type="dxa"/>
            <w:shd w:val="clear" w:color="auto" w:fill="F5F5F5"/>
            <w:tcMar>
              <w:top w:w="80" w:type="dxa"/>
              <w:left w:w="120" w:type="dxa"/>
              <w:bottom w:w="80" w:type="dxa"/>
              <w:right w:w="120" w:type="dxa"/>
            </w:tcMar>
          </w:tcPr>
          <w:p w14:paraId="12A2B769" w14:textId="77777777" w:rsidR="00D65D47" w:rsidRDefault="00000000">
            <w:r>
              <w:rPr>
                <w:b/>
                <w:bCs/>
                <w:color w:val="0F6E56"/>
                <w:sz w:val="20"/>
                <w:szCs w:val="20"/>
              </w:rPr>
              <w:t>16</w:t>
            </w:r>
          </w:p>
        </w:tc>
        <w:tc>
          <w:tcPr>
            <w:tcW w:w="5000" w:type="dxa"/>
            <w:shd w:val="clear" w:color="auto" w:fill="F5F5F5"/>
            <w:tcMar>
              <w:top w:w="80" w:type="dxa"/>
              <w:left w:w="120" w:type="dxa"/>
              <w:bottom w:w="80" w:type="dxa"/>
              <w:right w:w="120" w:type="dxa"/>
            </w:tcMar>
          </w:tcPr>
          <w:p w14:paraId="0762FA49" w14:textId="77777777" w:rsidR="00D65D47" w:rsidRDefault="00000000">
            <w:pPr>
              <w:jc w:val="right"/>
            </w:pPr>
            <w:r>
              <w:rPr>
                <w:b/>
                <w:bCs/>
                <w:color w:val="0F6E56"/>
                <w:sz w:val="20"/>
                <w:szCs w:val="20"/>
              </w:rPr>
              <w:t>TOTAL</w:t>
            </w:r>
          </w:p>
        </w:tc>
        <w:tc>
          <w:tcPr>
            <w:tcW w:w="1680" w:type="dxa"/>
            <w:shd w:val="clear" w:color="auto" w:fill="F5F5F5"/>
            <w:tcMar>
              <w:top w:w="80" w:type="dxa"/>
              <w:left w:w="120" w:type="dxa"/>
              <w:bottom w:w="80" w:type="dxa"/>
              <w:right w:w="120" w:type="dxa"/>
            </w:tcMar>
          </w:tcPr>
          <w:p w14:paraId="7B286C67" w14:textId="77777777" w:rsidR="00D65D47" w:rsidRDefault="00000000">
            <w:pPr>
              <w:jc w:val="right"/>
            </w:pPr>
            <w:r>
              <w:rPr>
                <w:b/>
                <w:bCs/>
                <w:color w:val="0F6E56"/>
                <w:sz w:val="20"/>
                <w:szCs w:val="20"/>
              </w:rPr>
              <w:t>$200,000</w:t>
            </w:r>
          </w:p>
        </w:tc>
        <w:tc>
          <w:tcPr>
            <w:tcW w:w="1680" w:type="dxa"/>
            <w:shd w:val="clear" w:color="auto" w:fill="F5F5F5"/>
            <w:tcMar>
              <w:top w:w="80" w:type="dxa"/>
              <w:left w:w="120" w:type="dxa"/>
              <w:bottom w:w="80" w:type="dxa"/>
              <w:right w:w="120" w:type="dxa"/>
            </w:tcMar>
          </w:tcPr>
          <w:p w14:paraId="58D399DC" w14:textId="77777777" w:rsidR="00D65D47" w:rsidRDefault="00000000">
            <w:pPr>
              <w:jc w:val="right"/>
            </w:pPr>
            <w:r>
              <w:rPr>
                <w:b/>
                <w:bCs/>
                <w:color w:val="0F6E56"/>
                <w:sz w:val="20"/>
                <w:szCs w:val="20"/>
              </w:rPr>
              <w:t>100%</w:t>
            </w:r>
          </w:p>
        </w:tc>
      </w:tr>
    </w:tbl>
    <w:p w14:paraId="6931675E" w14:textId="77777777" w:rsidR="00D65D47" w:rsidRDefault="00D65D47">
      <w:pPr>
        <w:spacing w:before="60" w:after="60"/>
      </w:pPr>
    </w:p>
    <w:p w14:paraId="2757616F" w14:textId="77777777" w:rsidR="00D65D47" w:rsidRDefault="00D65D4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5D47" w14:paraId="50219BFB" w14:textId="77777777">
        <w:tblPrEx>
          <w:tblCellMar>
            <w:top w:w="0" w:type="dxa"/>
            <w:bottom w:w="0" w:type="dxa"/>
          </w:tblCellMar>
        </w:tblPrEx>
        <w:tc>
          <w:tcPr>
            <w:tcW w:w="0" w:type="auto"/>
            <w:tcBorders>
              <w:top w:val="single" w:sz="4" w:space="0" w:color="9FE1CB"/>
              <w:left w:val="single" w:sz="4" w:space="0" w:color="9FE1CB"/>
              <w:bottom w:val="single" w:sz="4" w:space="0" w:color="9FE1CB"/>
              <w:right w:val="single" w:sz="4" w:space="0" w:color="9FE1CB"/>
            </w:tcBorders>
            <w:shd w:val="clear" w:color="auto" w:fill="E1F5EE"/>
            <w:tcMar>
              <w:top w:w="120" w:type="dxa"/>
              <w:left w:w="160" w:type="dxa"/>
              <w:bottom w:w="120" w:type="dxa"/>
              <w:right w:w="160" w:type="dxa"/>
            </w:tcMar>
          </w:tcPr>
          <w:p w14:paraId="5E41A275" w14:textId="77777777" w:rsidR="00D65D47" w:rsidRDefault="00000000">
            <w:pPr>
              <w:spacing w:after="60"/>
            </w:pPr>
            <w:r>
              <w:rPr>
                <w:b/>
                <w:bCs/>
                <w:color w:val="0F6E56"/>
                <w:sz w:val="20"/>
                <w:szCs w:val="20"/>
              </w:rPr>
              <w:t>Grant compliance</w:t>
            </w:r>
          </w:p>
          <w:p w14:paraId="1702591E" w14:textId="77777777" w:rsidR="00D65D47" w:rsidRDefault="00000000">
            <w:r>
              <w:rPr>
                <w:color w:val="085041"/>
                <w:sz w:val="20"/>
                <w:szCs w:val="20"/>
              </w:rPr>
              <w:t>Payroll (Row 7) = 20% of award, within the 25% cap. Conferences (Row 12) = 7.5% of award, within the 10% cap. No funds allocated to alcohol, drugs, or food. All activities are New Mexico-based or directly support New Mexico activity.</w:t>
            </w:r>
          </w:p>
        </w:tc>
      </w:tr>
    </w:tbl>
    <w:p w14:paraId="3469BBFC" w14:textId="77777777" w:rsidR="00D65D47" w:rsidRDefault="00D65D47">
      <w:pPr>
        <w:pBdr>
          <w:bottom w:val="single" w:sz="4" w:space="1" w:color="DDDDDD"/>
        </w:pBdr>
        <w:spacing w:before="160" w:after="160"/>
      </w:pPr>
    </w:p>
    <w:p w14:paraId="575D772E" w14:textId="77777777" w:rsidR="00D65D47" w:rsidRDefault="00000000">
      <w:pPr>
        <w:pStyle w:val="Heading1"/>
      </w:pPr>
      <w:proofErr w:type="gramStart"/>
      <w:r>
        <w:rPr>
          <w:color w:val="0F6E56"/>
        </w:rPr>
        <w:t>Line item</w:t>
      </w:r>
      <w:proofErr w:type="gramEnd"/>
      <w:r>
        <w:rPr>
          <w:color w:val="0F6E56"/>
        </w:rPr>
        <w:t xml:space="preserve"> detail</w:t>
      </w:r>
    </w:p>
    <w:p w14:paraId="37B2083D" w14:textId="77777777" w:rsidR="00D65D47" w:rsidRDefault="00000000">
      <w:pPr>
        <w:keepNext/>
        <w:pBdr>
          <w:bottom w:val="single" w:sz="8" w:space="4" w:color="0F6E56"/>
        </w:pBdr>
        <w:spacing w:before="280" w:after="100"/>
      </w:pPr>
      <w:r>
        <w:rPr>
          <w:b/>
          <w:bCs/>
          <w:color w:val="0F6E56"/>
          <w:sz w:val="24"/>
          <w:szCs w:val="24"/>
        </w:rPr>
        <w:t>Row 7 — Quantum algorithms engineer   |   $</w:t>
      </w:r>
      <w:proofErr w:type="gramStart"/>
      <w:r>
        <w:rPr>
          <w:b/>
          <w:bCs/>
          <w:color w:val="0F6E56"/>
          <w:sz w:val="24"/>
          <w:szCs w:val="24"/>
        </w:rPr>
        <w:t>40,000   |   20</w:t>
      </w:r>
      <w:proofErr w:type="gramEnd"/>
      <w:r>
        <w:rPr>
          <w:b/>
          <w:bCs/>
          <w:color w:val="0F6E56"/>
          <w:sz w:val="24"/>
          <w:szCs w:val="24"/>
        </w:rPr>
        <w:t>% of award</w:t>
      </w:r>
    </w:p>
    <w:p w14:paraId="43F2CE8C" w14:textId="77777777" w:rsidR="00D65D47" w:rsidRDefault="00000000">
      <w:pPr>
        <w:spacing w:before="120" w:after="80"/>
      </w:pPr>
      <w:r>
        <w:rPr>
          <w:b/>
          <w:bCs/>
          <w:color w:val="1A1A1A"/>
        </w:rPr>
        <w:t>Description</w:t>
      </w:r>
    </w:p>
    <w:p w14:paraId="54EAA826" w14:textId="77777777" w:rsidR="00D65D47" w:rsidRDefault="00000000">
      <w:pPr>
        <w:spacing w:before="80" w:after="120"/>
      </w:pPr>
      <w:r>
        <w:rPr>
          <w:color w:val="595959"/>
        </w:rPr>
        <w:t>Partial-year salary for a quantum algorithms engineer hired in Q1, based in Albuquerque, New Mexico. The hire will formulate QUBO representations of fleet and operational scheduling problems, manage the D-Wave Leap API integration, tune penalty weights for Republic Services and Greyhound-style problem structures, and support benchmark testing.</w:t>
      </w:r>
    </w:p>
    <w:p w14:paraId="4941AB19" w14:textId="77777777" w:rsidR="00D65D47" w:rsidRDefault="00000000">
      <w:pPr>
        <w:spacing w:before="120" w:after="80"/>
      </w:pPr>
      <w:r>
        <w:rPr>
          <w:b/>
          <w:bCs/>
          <w:color w:val="1A1A1A"/>
        </w:rPr>
        <w:t>Timeline</w:t>
      </w:r>
    </w:p>
    <w:p w14:paraId="774DAA22" w14:textId="77777777" w:rsidR="00D65D47" w:rsidRDefault="00000000">
      <w:pPr>
        <w:spacing w:before="80" w:after="120"/>
      </w:pPr>
      <w:r>
        <w:rPr>
          <w:color w:val="595959"/>
        </w:rPr>
        <w:t>Recruitment and onboarding in Q1 (months 1–3); active development Q1–Q4. $40,000 represents approximately 9 months of engagement at a market-competitive rate for a quantum computing specialist in New Mexico, supplemented by SQS internal resources.</w:t>
      </w:r>
    </w:p>
    <w:p w14:paraId="7984C233" w14:textId="77777777" w:rsidR="00D65D47" w:rsidRDefault="00000000">
      <w:pPr>
        <w:spacing w:before="120" w:after="80"/>
      </w:pPr>
      <w:r>
        <w:rPr>
          <w:b/>
          <w:bCs/>
          <w:color w:val="1A1A1A"/>
        </w:rPr>
        <w:t>Justification</w:t>
      </w:r>
    </w:p>
    <w:p w14:paraId="751B1570" w14:textId="77777777" w:rsidR="00D65D47" w:rsidRDefault="00000000">
      <w:pPr>
        <w:spacing w:before="80" w:after="120"/>
      </w:pPr>
      <w:r>
        <w:rPr>
          <w:color w:val="595959"/>
        </w:rPr>
        <w:t>This is the single most critical hire in the grant period. Vernon Cox's domain expertise in scheduling is the company's foundation, but the QUBO formulation layer requires specialized quantum computing training. Recruiting this talent in New Mexico — leveraging UNM, NMSU, and the national laboratory community — directly supports NM economic development and keeps the hire within the state, satisfying NMQTA's in-state activity requirement.</w:t>
      </w:r>
    </w:p>
    <w:p w14:paraId="2B124DB8" w14:textId="77777777" w:rsidR="00D65D47" w:rsidRDefault="00000000">
      <w:pPr>
        <w:spacing w:before="120" w:after="80"/>
      </w:pPr>
      <w:r>
        <w:rPr>
          <w:b/>
          <w:bCs/>
          <w:color w:val="1A1A1A"/>
        </w:rPr>
        <w:t>Payroll compliance</w:t>
      </w:r>
    </w:p>
    <w:p w14:paraId="783C5233" w14:textId="77777777" w:rsidR="00D65D47" w:rsidRDefault="00000000">
      <w:pPr>
        <w:spacing w:before="80" w:after="120"/>
      </w:pPr>
      <w:r>
        <w:rPr>
          <w:color w:val="595959"/>
        </w:rPr>
        <w:t>$40,000 = 20% of the total award, within the grant's 25% payroll cap.</w:t>
      </w:r>
    </w:p>
    <w:p w14:paraId="3D2A5DDF" w14:textId="77777777" w:rsidR="00D65D47" w:rsidRDefault="00000000">
      <w:pPr>
        <w:spacing w:before="120" w:after="80"/>
      </w:pPr>
      <w:r>
        <w:rPr>
          <w:b/>
          <w:bCs/>
          <w:color w:val="1A1A1A"/>
        </w:rPr>
        <w:t>Milestone tie-in</w:t>
      </w:r>
    </w:p>
    <w:p w14:paraId="1D600ADB" w14:textId="77777777" w:rsidR="00D65D47" w:rsidRDefault="00000000">
      <w:pPr>
        <w:spacing w:before="80" w:after="120"/>
      </w:pPr>
      <w:r>
        <w:rPr>
          <w:color w:val="595959"/>
        </w:rPr>
        <w:t>Q1 — Engineer onboarded in NM; QUBO formulation spec v1.0 documented for fleet scheduling problems.</w:t>
      </w:r>
    </w:p>
    <w:p w14:paraId="088D3B0B" w14:textId="77777777" w:rsidR="00D65D47" w:rsidRDefault="00000000">
      <w:pPr>
        <w:keepNext/>
        <w:pBdr>
          <w:bottom w:val="single" w:sz="8" w:space="4" w:color="0F6E56"/>
        </w:pBdr>
        <w:spacing w:before="280" w:after="100"/>
      </w:pPr>
      <w:r>
        <w:rPr>
          <w:b/>
          <w:bCs/>
          <w:color w:val="0F6E56"/>
          <w:sz w:val="24"/>
          <w:szCs w:val="24"/>
        </w:rPr>
        <w:t>Row 8 — D-Wave Leap API access and quantum compute costs   |   $55,000   |   27.5% of award</w:t>
      </w:r>
    </w:p>
    <w:p w14:paraId="2D1ED36A" w14:textId="77777777" w:rsidR="00D65D47" w:rsidRDefault="00000000">
      <w:pPr>
        <w:spacing w:before="120" w:after="80"/>
      </w:pPr>
      <w:r>
        <w:rPr>
          <w:b/>
          <w:bCs/>
          <w:color w:val="1A1A1A"/>
        </w:rPr>
        <w:t>Description</w:t>
      </w:r>
    </w:p>
    <w:p w14:paraId="12A148C0" w14:textId="77777777" w:rsidR="00D65D47" w:rsidRDefault="00000000">
      <w:pPr>
        <w:spacing w:before="80" w:after="120"/>
      </w:pPr>
      <w:r>
        <w:rPr>
          <w:color w:val="595959"/>
        </w:rPr>
        <w:lastRenderedPageBreak/>
        <w:t>Commercial subscription and usage fees for D-Wave's Leap quantum cloud platform, which provides access to D-Wave's quantum annealing hardware and hybrid solver infrastructure. Includes annual subscription tier and per-job compute charges for development, benchmarking, and pilot execution.</w:t>
      </w:r>
    </w:p>
    <w:p w14:paraId="5070ACEA" w14:textId="77777777" w:rsidR="00D65D47" w:rsidRDefault="00000000">
      <w:pPr>
        <w:spacing w:before="120" w:after="80"/>
      </w:pPr>
      <w:r>
        <w:rPr>
          <w:b/>
          <w:bCs/>
          <w:color w:val="1A1A1A"/>
        </w:rPr>
        <w:t>Timeline</w:t>
      </w:r>
    </w:p>
    <w:p w14:paraId="0DA66B92" w14:textId="77777777" w:rsidR="00D65D47" w:rsidRDefault="00000000">
      <w:pPr>
        <w:spacing w:before="80" w:after="120"/>
      </w:pPr>
      <w:r>
        <w:rPr>
          <w:color w:val="595959"/>
        </w:rPr>
        <w:t>Subscription initiated in Q1 alongside engineer onboarding; active quantum compute usage ramps through Q2 benchmarking and Q3 pilot execution with Republic Services and Greyhound; final validation runs in Q4.</w:t>
      </w:r>
    </w:p>
    <w:p w14:paraId="44797C5B" w14:textId="77777777" w:rsidR="00D65D47" w:rsidRDefault="00000000">
      <w:pPr>
        <w:spacing w:before="120" w:after="80"/>
      </w:pPr>
      <w:r>
        <w:rPr>
          <w:b/>
          <w:bCs/>
          <w:color w:val="1A1A1A"/>
        </w:rPr>
        <w:t>Justification</w:t>
      </w:r>
    </w:p>
    <w:p w14:paraId="03A4915E" w14:textId="77777777" w:rsidR="00D65D47" w:rsidRDefault="00000000">
      <w:pPr>
        <w:spacing w:before="80" w:after="120"/>
      </w:pPr>
      <w:r>
        <w:rPr>
          <w:color w:val="595959"/>
        </w:rPr>
        <w:t xml:space="preserve">D-Wave Leap is the specific quantum hardware infrastructure required for SQS's product. As the largest line item, this spend directly signals to TIO that NMQTA funds are producing real quantum activity — not just classical software development. Without dedicated quantum </w:t>
      </w:r>
      <w:proofErr w:type="gramStart"/>
      <w:r>
        <w:rPr>
          <w:color w:val="595959"/>
        </w:rPr>
        <w:t>compute</w:t>
      </w:r>
      <w:proofErr w:type="gramEnd"/>
      <w:r>
        <w:rPr>
          <w:color w:val="595959"/>
        </w:rPr>
        <w:t xml:space="preserve"> budget, the core technology cannot be built.</w:t>
      </w:r>
    </w:p>
    <w:p w14:paraId="5B69829D" w14:textId="77777777" w:rsidR="00D65D47" w:rsidRDefault="00000000">
      <w:pPr>
        <w:spacing w:before="120" w:after="80"/>
      </w:pPr>
      <w:r>
        <w:rPr>
          <w:b/>
          <w:bCs/>
          <w:color w:val="1A1A1A"/>
        </w:rPr>
        <w:t>Milestone tie-in</w:t>
      </w:r>
    </w:p>
    <w:p w14:paraId="79C4951A" w14:textId="77777777" w:rsidR="00D65D47" w:rsidRDefault="00000000">
      <w:pPr>
        <w:spacing w:before="80" w:after="120"/>
      </w:pPr>
      <w:r>
        <w:rPr>
          <w:color w:val="595959"/>
        </w:rPr>
        <w:t>Q2 — D-Wave Leap integrated with SPS platform; benchmark report produced against classical routing tools on fleet-scale test data.</w:t>
      </w:r>
    </w:p>
    <w:p w14:paraId="0598FF02" w14:textId="77777777" w:rsidR="00D65D47" w:rsidRDefault="00000000">
      <w:pPr>
        <w:keepNext/>
        <w:pBdr>
          <w:bottom w:val="single" w:sz="8" w:space="4" w:color="0F6E56"/>
        </w:pBdr>
        <w:spacing w:before="280" w:after="100"/>
      </w:pPr>
      <w:r>
        <w:rPr>
          <w:b/>
          <w:bCs/>
          <w:color w:val="0F6E56"/>
          <w:sz w:val="24"/>
          <w:szCs w:val="24"/>
        </w:rPr>
        <w:t>Row 9 — Software infrastructure   |   $40,000   |   20% of award</w:t>
      </w:r>
    </w:p>
    <w:p w14:paraId="597BAD3E" w14:textId="77777777" w:rsidR="00D65D47" w:rsidRDefault="00000000">
      <w:pPr>
        <w:spacing w:before="120" w:after="80"/>
      </w:pPr>
      <w:r>
        <w:rPr>
          <w:b/>
          <w:bCs/>
          <w:color w:val="1A1A1A"/>
        </w:rPr>
        <w:t>Description</w:t>
      </w:r>
    </w:p>
    <w:p w14:paraId="78B2023B" w14:textId="77777777" w:rsidR="00D65D47" w:rsidRDefault="00000000">
      <w:pPr>
        <w:spacing w:before="80" w:after="120"/>
      </w:pPr>
      <w:r>
        <w:rPr>
          <w:color w:val="595959"/>
        </w:rPr>
        <w:t>Cloud hosting (AWS or Azure), DevOps and CI/CD tooling, development licenses, secure data handling infrastructure, and a third-party security audit to prepare the platform for commercial client engagement.</w:t>
      </w:r>
    </w:p>
    <w:p w14:paraId="600C820D" w14:textId="77777777" w:rsidR="00D65D47" w:rsidRDefault="00000000">
      <w:pPr>
        <w:spacing w:before="120" w:after="80"/>
      </w:pPr>
      <w:r>
        <w:rPr>
          <w:b/>
          <w:bCs/>
          <w:color w:val="1A1A1A"/>
        </w:rPr>
        <w:t>Timeline</w:t>
      </w:r>
    </w:p>
    <w:p w14:paraId="5AE606DC" w14:textId="77777777" w:rsidR="00D65D47" w:rsidRDefault="00000000">
      <w:pPr>
        <w:spacing w:before="80" w:after="120"/>
      </w:pPr>
      <w:r>
        <w:rPr>
          <w:color w:val="595959"/>
        </w:rPr>
        <w:t>Infrastructure buildout in Q1–Q2; security audit in Q3 ahead of pilot deployment with Republic Services and Greyhound.</w:t>
      </w:r>
    </w:p>
    <w:p w14:paraId="45A21378" w14:textId="77777777" w:rsidR="00D65D47" w:rsidRDefault="00000000">
      <w:pPr>
        <w:spacing w:before="120" w:after="80"/>
      </w:pPr>
      <w:r>
        <w:rPr>
          <w:b/>
          <w:bCs/>
          <w:color w:val="1A1A1A"/>
        </w:rPr>
        <w:t>Justification</w:t>
      </w:r>
    </w:p>
    <w:p w14:paraId="75D1AB7F" w14:textId="77777777" w:rsidR="00D65D47" w:rsidRDefault="00000000">
      <w:pPr>
        <w:spacing w:before="80" w:after="120"/>
      </w:pPr>
      <w:r>
        <w:rPr>
          <w:color w:val="595959"/>
        </w:rPr>
        <w:t>Large commercial fleet operators handle sensitive operational data — routing, driver, and customer information — and require demonstrable security posture before allowing a new vendor to process their scheduling data. The security audit line item is non-negotiable for commercial pilot viability. Cloud infrastructure costs scale with the development workload and pilot data volume.</w:t>
      </w:r>
    </w:p>
    <w:p w14:paraId="07AD1D3A" w14:textId="77777777" w:rsidR="00D65D47" w:rsidRDefault="00000000">
      <w:pPr>
        <w:spacing w:before="120" w:after="80"/>
      </w:pPr>
      <w:r>
        <w:rPr>
          <w:b/>
          <w:bCs/>
          <w:color w:val="1A1A1A"/>
        </w:rPr>
        <w:t>Milestone tie-in</w:t>
      </w:r>
    </w:p>
    <w:p w14:paraId="1746F7BD" w14:textId="77777777" w:rsidR="00D65D47" w:rsidRDefault="00000000">
      <w:pPr>
        <w:spacing w:before="80" w:after="120"/>
      </w:pPr>
      <w:r>
        <w:rPr>
          <w:color w:val="595959"/>
        </w:rPr>
        <w:t>Q2 — Production-grade infrastructure deployed. Q3 — Security audit complete, enabling commercial pilot execution.</w:t>
      </w:r>
    </w:p>
    <w:p w14:paraId="189AD3F2" w14:textId="77777777" w:rsidR="00D65D47" w:rsidRDefault="00000000">
      <w:pPr>
        <w:keepNext/>
        <w:pBdr>
          <w:bottom w:val="single" w:sz="8" w:space="4" w:color="0F6E56"/>
        </w:pBdr>
        <w:spacing w:before="280" w:after="100"/>
      </w:pPr>
      <w:r>
        <w:rPr>
          <w:b/>
          <w:bCs/>
          <w:color w:val="0F6E56"/>
          <w:sz w:val="24"/>
          <w:szCs w:val="24"/>
        </w:rPr>
        <w:t>Row 10 — Commercial client pilot program   |   $30,000   |   15% of award</w:t>
      </w:r>
    </w:p>
    <w:p w14:paraId="06C1ACEE" w14:textId="77777777" w:rsidR="00D65D47" w:rsidRDefault="00000000">
      <w:pPr>
        <w:spacing w:before="120" w:after="80"/>
      </w:pPr>
      <w:r>
        <w:rPr>
          <w:b/>
          <w:bCs/>
          <w:color w:val="1A1A1A"/>
        </w:rPr>
        <w:t>Description</w:t>
      </w:r>
    </w:p>
    <w:p w14:paraId="4F13DAE9" w14:textId="77777777" w:rsidR="00D65D47" w:rsidRDefault="00000000">
      <w:pPr>
        <w:spacing w:before="80" w:after="120"/>
      </w:pPr>
      <w:r>
        <w:rPr>
          <w:color w:val="595959"/>
        </w:rPr>
        <w:t>Direct costs associated with executing a structured pilot with Republic Services and Greyhound Lines, including business development outreach, travel to client operations sites, data preparation and anonymization, pilot coordination, and documentation of benchmark results.</w:t>
      </w:r>
    </w:p>
    <w:p w14:paraId="47C1FC2E" w14:textId="77777777" w:rsidR="00D65D47" w:rsidRDefault="00000000">
      <w:pPr>
        <w:spacing w:before="120" w:after="80"/>
      </w:pPr>
      <w:r>
        <w:rPr>
          <w:b/>
          <w:bCs/>
          <w:color w:val="1A1A1A"/>
        </w:rPr>
        <w:t>Timeline</w:t>
      </w:r>
    </w:p>
    <w:p w14:paraId="77F43AE3" w14:textId="77777777" w:rsidR="00D65D47" w:rsidRDefault="00000000">
      <w:pPr>
        <w:spacing w:before="80" w:after="120"/>
      </w:pPr>
      <w:r>
        <w:rPr>
          <w:color w:val="595959"/>
        </w:rPr>
        <w:lastRenderedPageBreak/>
        <w:t xml:space="preserve">Outreach and pilot scoping in Q2; agreement negotiation late Q2; active pilot execution in Q3; </w:t>
      </w:r>
      <w:proofErr w:type="gramStart"/>
      <w:r>
        <w:rPr>
          <w:color w:val="595959"/>
        </w:rPr>
        <w:t>final results</w:t>
      </w:r>
      <w:proofErr w:type="gramEnd"/>
      <w:r>
        <w:rPr>
          <w:color w:val="595959"/>
        </w:rPr>
        <w:t xml:space="preserve"> documentation in Q4.</w:t>
      </w:r>
    </w:p>
    <w:p w14:paraId="6F840FEC" w14:textId="77777777" w:rsidR="00D65D47" w:rsidRDefault="00000000">
      <w:pPr>
        <w:spacing w:before="120" w:after="80"/>
      </w:pPr>
      <w:r>
        <w:rPr>
          <w:b/>
          <w:bCs/>
          <w:color w:val="1A1A1A"/>
        </w:rPr>
        <w:t>Justification</w:t>
      </w:r>
    </w:p>
    <w:p w14:paraId="3863BB82" w14:textId="77777777" w:rsidR="00D65D47" w:rsidRDefault="00000000">
      <w:pPr>
        <w:spacing w:before="80" w:after="120"/>
      </w:pPr>
      <w:r>
        <w:rPr>
          <w:color w:val="595959"/>
        </w:rPr>
        <w:t>Without documented pilot results from real commercial fleet operators, the quantum engine is an unvalidated engineering exercise. Pilot execution costs turn the technology into commercial evidence — benchmark reports, ROI data, and customer testimonials — that support commercial sales to comparable fleet operators in year two.</w:t>
      </w:r>
    </w:p>
    <w:p w14:paraId="651D3DEB" w14:textId="77777777" w:rsidR="00D65D47" w:rsidRDefault="00000000">
      <w:pPr>
        <w:spacing w:before="120" w:after="80"/>
      </w:pPr>
      <w:r>
        <w:rPr>
          <w:b/>
          <w:bCs/>
          <w:color w:val="1A1A1A"/>
        </w:rPr>
        <w:t>Milestone tie-in</w:t>
      </w:r>
    </w:p>
    <w:p w14:paraId="2DDD5C74" w14:textId="77777777" w:rsidR="00D65D47" w:rsidRDefault="00000000">
      <w:pPr>
        <w:spacing w:before="80" w:after="120"/>
      </w:pPr>
      <w:r>
        <w:rPr>
          <w:color w:val="595959"/>
        </w:rPr>
        <w:t>Q3 — Signed pilot agreements with Republic Services and Greyhound, interim results. Q4 — Final pilot results with documented ROI published.</w:t>
      </w:r>
    </w:p>
    <w:p w14:paraId="2030A030" w14:textId="77777777" w:rsidR="00D65D47" w:rsidRDefault="00000000">
      <w:pPr>
        <w:keepNext/>
        <w:pBdr>
          <w:bottom w:val="single" w:sz="8" w:space="4" w:color="0F6E56"/>
        </w:pBdr>
        <w:spacing w:before="280" w:after="100"/>
      </w:pPr>
      <w:r>
        <w:rPr>
          <w:b/>
          <w:bCs/>
          <w:color w:val="0F6E56"/>
          <w:sz w:val="24"/>
          <w:szCs w:val="24"/>
        </w:rPr>
        <w:t>Row 11 — IP and patent filing   |   $20,000   |   10% of award</w:t>
      </w:r>
    </w:p>
    <w:p w14:paraId="047E274F" w14:textId="77777777" w:rsidR="00D65D47" w:rsidRDefault="00000000">
      <w:pPr>
        <w:spacing w:before="120" w:after="80"/>
      </w:pPr>
      <w:r>
        <w:rPr>
          <w:b/>
          <w:bCs/>
          <w:color w:val="1A1A1A"/>
        </w:rPr>
        <w:t>Description</w:t>
      </w:r>
    </w:p>
    <w:p w14:paraId="76B6BB51" w14:textId="77777777" w:rsidR="00D65D47" w:rsidRDefault="00000000">
      <w:pPr>
        <w:spacing w:before="80" w:after="120"/>
      </w:pPr>
      <w:r>
        <w:rPr>
          <w:color w:val="595959"/>
        </w:rPr>
        <w:t>Legal and filing fees for a provisional patent application covering SQS's QUBO scheduling formulation method — specifically, the proprietary approach to encoding complex fleet and operational scheduling constraints as quantum-ready binary optimization problems.</w:t>
      </w:r>
    </w:p>
    <w:p w14:paraId="5B3D066A" w14:textId="77777777" w:rsidR="00D65D47" w:rsidRDefault="00000000">
      <w:pPr>
        <w:spacing w:before="120" w:after="80"/>
      </w:pPr>
      <w:r>
        <w:rPr>
          <w:b/>
          <w:bCs/>
          <w:color w:val="1A1A1A"/>
        </w:rPr>
        <w:t>Timeline</w:t>
      </w:r>
    </w:p>
    <w:p w14:paraId="4F2BF13D" w14:textId="77777777" w:rsidR="00D65D47" w:rsidRDefault="00000000">
      <w:pPr>
        <w:spacing w:before="80" w:after="120"/>
      </w:pPr>
      <w:r>
        <w:rPr>
          <w:color w:val="595959"/>
        </w:rPr>
        <w:t>Patent attorney engagement in Q3; provisional application filed in Q4.</w:t>
      </w:r>
    </w:p>
    <w:p w14:paraId="63D29E1B" w14:textId="77777777" w:rsidR="00D65D47" w:rsidRDefault="00000000">
      <w:pPr>
        <w:spacing w:before="120" w:after="80"/>
      </w:pPr>
      <w:r>
        <w:rPr>
          <w:b/>
          <w:bCs/>
          <w:color w:val="1A1A1A"/>
        </w:rPr>
        <w:t>Justification</w:t>
      </w:r>
    </w:p>
    <w:p w14:paraId="22084FB2" w14:textId="77777777" w:rsidR="00D65D47" w:rsidRDefault="00000000">
      <w:pPr>
        <w:spacing w:before="80" w:after="120"/>
      </w:pPr>
      <w:r>
        <w:rPr>
          <w:color w:val="595959"/>
        </w:rPr>
        <w:t>The QUBO formulation is SQS's core defensible IP — the layer that combines commercial scheduling domain expertise with quantum computing. Filing a provisional patent establishes priority date, protects the company's competitive position, and materially strengthens SQS's positioning for SBIR Phase II and Series A fundraising in year two.</w:t>
      </w:r>
    </w:p>
    <w:p w14:paraId="33E629FE" w14:textId="77777777" w:rsidR="00D65D47" w:rsidRDefault="00000000">
      <w:pPr>
        <w:spacing w:before="120" w:after="80"/>
      </w:pPr>
      <w:r>
        <w:rPr>
          <w:b/>
          <w:bCs/>
          <w:color w:val="1A1A1A"/>
        </w:rPr>
        <w:t>Milestone tie-in</w:t>
      </w:r>
    </w:p>
    <w:p w14:paraId="1FE5D64F" w14:textId="77777777" w:rsidR="00D65D47" w:rsidRDefault="00000000">
      <w:pPr>
        <w:spacing w:before="80" w:after="120"/>
      </w:pPr>
      <w:r>
        <w:rPr>
          <w:color w:val="595959"/>
        </w:rPr>
        <w:t>Q4 — Provisional patent application filed.</w:t>
      </w:r>
    </w:p>
    <w:p w14:paraId="4F5B50CB" w14:textId="77777777" w:rsidR="00D65D47" w:rsidRDefault="00000000">
      <w:pPr>
        <w:keepNext/>
        <w:pBdr>
          <w:bottom w:val="single" w:sz="8" w:space="4" w:color="0F6E56"/>
        </w:pBdr>
        <w:spacing w:before="280" w:after="100"/>
      </w:pPr>
      <w:r>
        <w:rPr>
          <w:b/>
          <w:bCs/>
          <w:color w:val="0F6E56"/>
          <w:sz w:val="24"/>
          <w:szCs w:val="24"/>
        </w:rPr>
        <w:t>Row 12 — Conferences and trade shows   |   $15,000   |   7.5% of award</w:t>
      </w:r>
    </w:p>
    <w:p w14:paraId="7D374925" w14:textId="77777777" w:rsidR="00D65D47" w:rsidRDefault="00000000">
      <w:pPr>
        <w:spacing w:before="120" w:after="80"/>
      </w:pPr>
      <w:r>
        <w:rPr>
          <w:b/>
          <w:bCs/>
          <w:color w:val="1A1A1A"/>
        </w:rPr>
        <w:t>Description</w:t>
      </w:r>
    </w:p>
    <w:p w14:paraId="4CFE02A2" w14:textId="77777777" w:rsidR="00D65D47" w:rsidRDefault="00000000">
      <w:pPr>
        <w:spacing w:before="80" w:after="120"/>
      </w:pPr>
      <w:r>
        <w:rPr>
          <w:color w:val="595959"/>
        </w:rPr>
        <w:t>Registration, travel, and exhibit fees for SQS participation in two targeted industry events — Waste Expo (waste and recycling fleet industry), the American Trucking Associations Management Conference, or equivalent commercial fleet and logistics industry events.</w:t>
      </w:r>
    </w:p>
    <w:p w14:paraId="47B7D3CC" w14:textId="77777777" w:rsidR="00D65D47" w:rsidRDefault="00000000">
      <w:pPr>
        <w:spacing w:before="120" w:after="80"/>
      </w:pPr>
      <w:r>
        <w:rPr>
          <w:b/>
          <w:bCs/>
          <w:color w:val="1A1A1A"/>
        </w:rPr>
        <w:t>Timeline</w:t>
      </w:r>
    </w:p>
    <w:p w14:paraId="724515DE" w14:textId="77777777" w:rsidR="00D65D47" w:rsidRDefault="00000000">
      <w:pPr>
        <w:spacing w:before="80" w:after="120"/>
      </w:pPr>
      <w:r>
        <w:rPr>
          <w:color w:val="595959"/>
        </w:rPr>
        <w:t xml:space="preserve">Conference attendance </w:t>
      </w:r>
      <w:proofErr w:type="gramStart"/>
      <w:r>
        <w:rPr>
          <w:color w:val="595959"/>
        </w:rPr>
        <w:t>staged</w:t>
      </w:r>
      <w:proofErr w:type="gramEnd"/>
      <w:r>
        <w:rPr>
          <w:color w:val="595959"/>
        </w:rPr>
        <w:t xml:space="preserve"> in Q3 and Q4 to coincide with pilot result availability and commercial sales conversations.</w:t>
      </w:r>
    </w:p>
    <w:p w14:paraId="5F64E0E7" w14:textId="77777777" w:rsidR="00D65D47" w:rsidRDefault="00000000">
      <w:pPr>
        <w:spacing w:before="120" w:after="80"/>
      </w:pPr>
      <w:r>
        <w:rPr>
          <w:b/>
          <w:bCs/>
          <w:color w:val="1A1A1A"/>
        </w:rPr>
        <w:t>Justification</w:t>
      </w:r>
    </w:p>
    <w:p w14:paraId="3C14F67A" w14:textId="77777777" w:rsidR="00D65D47" w:rsidRDefault="00000000">
      <w:pPr>
        <w:spacing w:before="80" w:after="120"/>
      </w:pPr>
      <w:r>
        <w:rPr>
          <w:color w:val="595959"/>
        </w:rPr>
        <w:t>Commercial fleet and logistics industry events concentrate decision-makers from Republic Services-comparable operators in one place. A single commercial engagement captured through conference presence would represent multiples of this line item's cost. Industry events are the fastest path from pilot results to next-customer pipeline.</w:t>
      </w:r>
    </w:p>
    <w:p w14:paraId="0B408A21" w14:textId="77777777" w:rsidR="00D65D47" w:rsidRDefault="00000000">
      <w:pPr>
        <w:spacing w:before="120" w:after="80"/>
      </w:pPr>
      <w:r>
        <w:rPr>
          <w:b/>
          <w:bCs/>
          <w:color w:val="1A1A1A"/>
        </w:rPr>
        <w:t>Conference compliance</w:t>
      </w:r>
    </w:p>
    <w:p w14:paraId="45FFC55E" w14:textId="77777777" w:rsidR="00D65D47" w:rsidRDefault="00000000">
      <w:pPr>
        <w:spacing w:before="80" w:after="120"/>
      </w:pPr>
      <w:r>
        <w:rPr>
          <w:color w:val="595959"/>
        </w:rPr>
        <w:t>$15,000 = 7.5% of the total award, within the grant's 10% conference cap.</w:t>
      </w:r>
    </w:p>
    <w:p w14:paraId="00437587" w14:textId="77777777" w:rsidR="00D65D47" w:rsidRDefault="00000000">
      <w:pPr>
        <w:spacing w:before="120" w:after="80"/>
      </w:pPr>
      <w:r>
        <w:rPr>
          <w:b/>
          <w:bCs/>
          <w:color w:val="1A1A1A"/>
        </w:rPr>
        <w:lastRenderedPageBreak/>
        <w:t>Milestone tie-in</w:t>
      </w:r>
    </w:p>
    <w:p w14:paraId="37006F5F" w14:textId="77777777" w:rsidR="00D65D47" w:rsidRDefault="00000000">
      <w:pPr>
        <w:spacing w:before="80" w:after="120"/>
      </w:pPr>
      <w:r>
        <w:rPr>
          <w:color w:val="595959"/>
        </w:rPr>
        <w:t>Q4 — Pilot results presented; commercial sales pipeline initiated.</w:t>
      </w:r>
    </w:p>
    <w:p w14:paraId="26BD5340" w14:textId="77777777" w:rsidR="00D65D47" w:rsidRDefault="00D65D47">
      <w:pPr>
        <w:pBdr>
          <w:bottom w:val="single" w:sz="4" w:space="1" w:color="DDDDDD"/>
        </w:pBdr>
        <w:spacing w:before="160" w:after="160"/>
      </w:pPr>
    </w:p>
    <w:p w14:paraId="482F87E8" w14:textId="77777777" w:rsidR="00D65D47" w:rsidRDefault="00000000">
      <w:pPr>
        <w:pStyle w:val="Heading1"/>
      </w:pPr>
      <w:r>
        <w:rPr>
          <w:color w:val="0F6E56"/>
        </w:rPr>
        <w:t>Budget total and compliance summary</w:t>
      </w:r>
    </w:p>
    <w:p w14:paraId="627D97F6" w14:textId="77777777" w:rsidR="00D65D47" w:rsidRDefault="00000000">
      <w:pPr>
        <w:spacing w:before="80" w:after="120"/>
      </w:pPr>
      <w:r>
        <w:rPr>
          <w:color w:val="595959"/>
        </w:rPr>
        <w:t>Total requested: $200,000. Payroll: 20% (cap: 25%). Conferences: 7.5% (cap: 10%). No funds allocated to alcohol, drugs, or food. All budgeted activities take place within New Mexico or directly support New Mexico-based activities and commercial pilot engagements. Every dollar of NMQTA funding is tied to a specific Q1–Q4 milestone deliverable, enabling TIO to measure progress against commitments throughout the grant period.</w:t>
      </w:r>
    </w:p>
    <w:p w14:paraId="073B998E" w14:textId="77777777" w:rsidR="00D65D47" w:rsidRDefault="00D65D47">
      <w:pPr>
        <w:pBdr>
          <w:bottom w:val="single" w:sz="4" w:space="1" w:color="DDDDDD"/>
        </w:pBdr>
        <w:spacing w:before="160" w:after="160"/>
      </w:pPr>
    </w:p>
    <w:p w14:paraId="147E8041" w14:textId="77777777" w:rsidR="00D65D47" w:rsidRDefault="00000000">
      <w:pPr>
        <w:pStyle w:val="Heading1"/>
      </w:pPr>
      <w:r>
        <w:rPr>
          <w:color w:val="0F6E56"/>
        </w:rPr>
        <w:t>Certification</w:t>
      </w:r>
    </w:p>
    <w:p w14:paraId="540B02C5" w14:textId="77777777" w:rsidR="00D65D47" w:rsidRDefault="00000000">
      <w:pPr>
        <w:spacing w:before="80" w:after="120"/>
      </w:pPr>
      <w:r>
        <w:rPr>
          <w:color w:val="595959"/>
        </w:rPr>
        <w:t>SanTed Quantum Scheduling (SQS) certifies that the budget presented in this narrative is accurate, that all funds will be used for the purposes described, and that all expenditures will be documented with receipts and supporting records available for TIO review upon request throughout the grant period and in the two-year post-award reporting period.</w:t>
      </w:r>
    </w:p>
    <w:p w14:paraId="45763282" w14:textId="77777777" w:rsidR="00D65D47" w:rsidRDefault="00D65D47">
      <w:pPr>
        <w:spacing w:before="60" w:after="60"/>
      </w:pPr>
    </w:p>
    <w:p w14:paraId="627C7121" w14:textId="77777777" w:rsidR="00D65D47" w:rsidRDefault="00000000">
      <w:pPr>
        <w:spacing w:before="80" w:after="120"/>
      </w:pPr>
      <w:r>
        <w:rPr>
          <w:color w:val="595959"/>
        </w:rPr>
        <w:t>Signed: ______________________________</w:t>
      </w:r>
    </w:p>
    <w:p w14:paraId="5B0CD8E7" w14:textId="77777777" w:rsidR="00D65D47" w:rsidRDefault="00D65D47">
      <w:pPr>
        <w:spacing w:before="60" w:after="60"/>
      </w:pPr>
    </w:p>
    <w:p w14:paraId="16E9EE90" w14:textId="77777777" w:rsidR="00D65D47" w:rsidRDefault="00000000">
      <w:pPr>
        <w:spacing w:before="60" w:after="60"/>
      </w:pPr>
      <w:r>
        <w:rPr>
          <w:b/>
          <w:bCs/>
          <w:color w:val="1A1A1A"/>
        </w:rPr>
        <w:t xml:space="preserve">Name: </w:t>
      </w:r>
      <w:r>
        <w:rPr>
          <w:color w:val="595959"/>
        </w:rPr>
        <w:t>Vernon T. Cox, DBA</w:t>
      </w:r>
    </w:p>
    <w:p w14:paraId="2771B938" w14:textId="77777777" w:rsidR="00D65D47" w:rsidRDefault="00000000">
      <w:pPr>
        <w:spacing w:before="60" w:after="60"/>
      </w:pPr>
      <w:r>
        <w:rPr>
          <w:b/>
          <w:bCs/>
          <w:color w:val="1A1A1A"/>
        </w:rPr>
        <w:t xml:space="preserve">Title: </w:t>
      </w:r>
      <w:r>
        <w:rPr>
          <w:color w:val="595959"/>
        </w:rPr>
        <w:t>Founder &amp; Principal, SanTed Quantum Scheduling</w:t>
      </w:r>
    </w:p>
    <w:p w14:paraId="50DB67F1" w14:textId="77777777" w:rsidR="00D65D47" w:rsidRDefault="00000000">
      <w:pPr>
        <w:spacing w:before="60" w:after="60"/>
      </w:pPr>
      <w:r>
        <w:rPr>
          <w:b/>
          <w:bCs/>
          <w:color w:val="1A1A1A"/>
        </w:rPr>
        <w:t xml:space="preserve">Date: </w:t>
      </w:r>
      <w:r>
        <w:rPr>
          <w:color w:val="595959"/>
        </w:rPr>
        <w:t>___________________________</w:t>
      </w:r>
    </w:p>
    <w:sectPr w:rsidR="00D65D4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D47FF" w14:textId="77777777" w:rsidR="00D41895" w:rsidRDefault="00D41895">
      <w:r>
        <w:separator/>
      </w:r>
    </w:p>
  </w:endnote>
  <w:endnote w:type="continuationSeparator" w:id="0">
    <w:p w14:paraId="325F3D5B" w14:textId="77777777" w:rsidR="00D41895" w:rsidRDefault="00D418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174B1" w14:textId="77777777" w:rsidR="00D65D47"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926C1">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6926C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5A6FB" w14:textId="77777777" w:rsidR="00D41895" w:rsidRDefault="00D41895">
      <w:r>
        <w:separator/>
      </w:r>
    </w:p>
  </w:footnote>
  <w:footnote w:type="continuationSeparator" w:id="0">
    <w:p w14:paraId="30DE725A" w14:textId="77777777" w:rsidR="00D41895" w:rsidRDefault="00D418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CFF31" w14:textId="0B362DDF" w:rsidR="00D65D47" w:rsidRDefault="006926C1">
    <w:pPr>
      <w:jc w:val="right"/>
    </w:pPr>
    <w:r>
      <w:rPr>
        <w:i/>
        <w:iCs/>
        <w:color w:val="888888"/>
        <w:sz w:val="18"/>
        <w:szCs w:val="18"/>
      </w:rPr>
      <w:t xml:space="preserve">Dr. Vernon T. Cox, 505-339-9931: </w:t>
    </w:r>
    <w:r w:rsidR="00000000">
      <w:rPr>
        <w:i/>
        <w:iCs/>
        <w:color w:val="888888"/>
        <w:sz w:val="18"/>
        <w:szCs w:val="18"/>
      </w:rPr>
      <w:t xml:space="preserve">SanTed Quantum </w:t>
    </w:r>
    <w:proofErr w:type="gramStart"/>
    <w:r w:rsidR="00000000">
      <w:rPr>
        <w:i/>
        <w:iCs/>
        <w:color w:val="888888"/>
        <w:sz w:val="18"/>
        <w:szCs w:val="18"/>
      </w:rPr>
      <w:t>Scheduling  |</w:t>
    </w:r>
    <w:proofErr w:type="gramEnd"/>
    <w:r w:rsidR="00000000">
      <w:rPr>
        <w:i/>
        <w:iCs/>
        <w:color w:val="888888"/>
        <w:sz w:val="18"/>
        <w:szCs w:val="18"/>
      </w:rPr>
      <w:t xml:space="preserve">  NMQTA </w:t>
    </w:r>
    <w:proofErr w:type="gramStart"/>
    <w:r w:rsidR="00000000">
      <w:rPr>
        <w:i/>
        <w:iCs/>
        <w:color w:val="888888"/>
        <w:sz w:val="18"/>
        <w:szCs w:val="18"/>
      </w:rPr>
      <w:t>2026  |</w:t>
    </w:r>
    <w:proofErr w:type="gramEnd"/>
    <w:r w:rsidR="00000000">
      <w:rPr>
        <w:i/>
        <w:iCs/>
        <w:color w:val="888888"/>
        <w:sz w:val="18"/>
        <w:szCs w:val="18"/>
      </w:rPr>
      <w:t xml:space="preserve">  Budget Narrative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04988"/>
    <w:multiLevelType w:val="hybridMultilevel"/>
    <w:tmpl w:val="5C662456"/>
    <w:lvl w:ilvl="0" w:tplc="4288C750">
      <w:start w:val="1"/>
      <w:numFmt w:val="bullet"/>
      <w:lvlText w:val="●"/>
      <w:lvlJc w:val="left"/>
      <w:pPr>
        <w:ind w:left="720" w:hanging="360"/>
      </w:pPr>
    </w:lvl>
    <w:lvl w:ilvl="1" w:tplc="04A8FFFC">
      <w:start w:val="1"/>
      <w:numFmt w:val="bullet"/>
      <w:lvlText w:val="○"/>
      <w:lvlJc w:val="left"/>
      <w:pPr>
        <w:ind w:left="1440" w:hanging="360"/>
      </w:pPr>
    </w:lvl>
    <w:lvl w:ilvl="2" w:tplc="1DDE5840">
      <w:start w:val="1"/>
      <w:numFmt w:val="bullet"/>
      <w:lvlText w:val="■"/>
      <w:lvlJc w:val="left"/>
      <w:pPr>
        <w:ind w:left="2160" w:hanging="360"/>
      </w:pPr>
    </w:lvl>
    <w:lvl w:ilvl="3" w:tplc="F28EC616">
      <w:start w:val="1"/>
      <w:numFmt w:val="bullet"/>
      <w:lvlText w:val="●"/>
      <w:lvlJc w:val="left"/>
      <w:pPr>
        <w:ind w:left="2880" w:hanging="360"/>
      </w:pPr>
    </w:lvl>
    <w:lvl w:ilvl="4" w:tplc="E3920620">
      <w:start w:val="1"/>
      <w:numFmt w:val="bullet"/>
      <w:lvlText w:val="○"/>
      <w:lvlJc w:val="left"/>
      <w:pPr>
        <w:ind w:left="3600" w:hanging="360"/>
      </w:pPr>
    </w:lvl>
    <w:lvl w:ilvl="5" w:tplc="41244C20">
      <w:start w:val="1"/>
      <w:numFmt w:val="bullet"/>
      <w:lvlText w:val="■"/>
      <w:lvlJc w:val="left"/>
      <w:pPr>
        <w:ind w:left="4320" w:hanging="360"/>
      </w:pPr>
    </w:lvl>
    <w:lvl w:ilvl="6" w:tplc="E4589BBA">
      <w:start w:val="1"/>
      <w:numFmt w:val="bullet"/>
      <w:lvlText w:val="●"/>
      <w:lvlJc w:val="left"/>
      <w:pPr>
        <w:ind w:left="5040" w:hanging="360"/>
      </w:pPr>
    </w:lvl>
    <w:lvl w:ilvl="7" w:tplc="D938E656">
      <w:start w:val="1"/>
      <w:numFmt w:val="bullet"/>
      <w:lvlText w:val="●"/>
      <w:lvlJc w:val="left"/>
      <w:pPr>
        <w:ind w:left="5760" w:hanging="360"/>
      </w:pPr>
    </w:lvl>
    <w:lvl w:ilvl="8" w:tplc="1D800B0A">
      <w:start w:val="1"/>
      <w:numFmt w:val="bullet"/>
      <w:lvlText w:val="●"/>
      <w:lvlJc w:val="left"/>
      <w:pPr>
        <w:ind w:left="6480" w:hanging="360"/>
      </w:pPr>
    </w:lvl>
  </w:abstractNum>
  <w:num w:numId="1" w16cid:durableId="15897324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D47"/>
    <w:rsid w:val="006926C1"/>
    <w:rsid w:val="008A1139"/>
    <w:rsid w:val="00D41895"/>
    <w:rsid w:val="00D65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2CF1B"/>
  <w15:docId w15:val="{B845D752-345E-4997-8500-D55AE7DFB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926C1"/>
    <w:pPr>
      <w:tabs>
        <w:tab w:val="center" w:pos="4680"/>
        <w:tab w:val="right" w:pos="9360"/>
      </w:tabs>
    </w:pPr>
  </w:style>
  <w:style w:type="character" w:customStyle="1" w:styleId="HeaderChar">
    <w:name w:val="Header Char"/>
    <w:basedOn w:val="DefaultParagraphFont"/>
    <w:link w:val="Header"/>
    <w:uiPriority w:val="99"/>
    <w:rsid w:val="006926C1"/>
  </w:style>
  <w:style w:type="paragraph" w:styleId="Footer">
    <w:name w:val="footer"/>
    <w:basedOn w:val="Normal"/>
    <w:link w:val="FooterChar"/>
    <w:uiPriority w:val="99"/>
    <w:unhideWhenUsed/>
    <w:rsid w:val="006926C1"/>
    <w:pPr>
      <w:tabs>
        <w:tab w:val="center" w:pos="4680"/>
        <w:tab w:val="right" w:pos="9360"/>
      </w:tabs>
    </w:pPr>
  </w:style>
  <w:style w:type="character" w:customStyle="1" w:styleId="FooterChar">
    <w:name w:val="Footer Char"/>
    <w:basedOn w:val="DefaultParagraphFont"/>
    <w:link w:val="Footer"/>
    <w:uiPriority w:val="99"/>
    <w:rsid w:val="006926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1336</Words>
  <Characters>7616</Characters>
  <Application>Microsoft Office Word</Application>
  <DocSecurity>0</DocSecurity>
  <Lines>63</Lines>
  <Paragraphs>17</Paragraphs>
  <ScaleCrop>false</ScaleCrop>
  <Company/>
  <LinksUpToDate>false</LinksUpToDate>
  <CharactersWithSpaces>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COX, VERNON</cp:lastModifiedBy>
  <cp:revision>2</cp:revision>
  <dcterms:created xsi:type="dcterms:W3CDTF">2026-04-20T01:48:00Z</dcterms:created>
  <dcterms:modified xsi:type="dcterms:W3CDTF">2026-04-20T01:50:00Z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8bb7484-22c2-4b98-9fb8-3ab13d821527_Enabled">
    <vt:lpwstr>true</vt:lpwstr>
  </property>
  <property fmtid="{D5CDD505-2E9C-101B-9397-08002B2CF9AE}" pid="3" name="MSIP_Label_d8bb7484-22c2-4b98-9fb8-3ab13d821527_SetDate">
    <vt:lpwstr>2026-04-20T01:50:29Z</vt:lpwstr>
  </property>
  <property fmtid="{D5CDD505-2E9C-101B-9397-08002B2CF9AE}" pid="4" name="MSIP_Label_d8bb7484-22c2-4b98-9fb8-3ab13d821527_Method">
    <vt:lpwstr>Standard</vt:lpwstr>
  </property>
  <property fmtid="{D5CDD505-2E9C-101B-9397-08002B2CF9AE}" pid="5" name="MSIP_Label_d8bb7484-22c2-4b98-9fb8-3ab13d821527_Name">
    <vt:lpwstr>defa4170-0d19-0005-0004-bc88714345d2</vt:lpwstr>
  </property>
  <property fmtid="{D5CDD505-2E9C-101B-9397-08002B2CF9AE}" pid="6" name="MSIP_Label_d8bb7484-22c2-4b98-9fb8-3ab13d821527_SiteId">
    <vt:lpwstr>f50e076b-86a5-45f3-87b0-3f4d0ec5e94e</vt:lpwstr>
  </property>
  <property fmtid="{D5CDD505-2E9C-101B-9397-08002B2CF9AE}" pid="7" name="MSIP_Label_d8bb7484-22c2-4b98-9fb8-3ab13d821527_ActionId">
    <vt:lpwstr>351feb5b-6051-419e-8a12-71a710b23db3</vt:lpwstr>
  </property>
  <property fmtid="{D5CDD505-2E9C-101B-9397-08002B2CF9AE}" pid="8" name="MSIP_Label_d8bb7484-22c2-4b98-9fb8-3ab13d821527_ContentBits">
    <vt:lpwstr>0</vt:lpwstr>
  </property>
  <property fmtid="{D5CDD505-2E9C-101B-9397-08002B2CF9AE}" pid="9" name="MSIP_Label_d8bb7484-22c2-4b98-9fb8-3ab13d821527_Tag">
    <vt:lpwstr>10, 3, 0, 1</vt:lpwstr>
  </property>
</Properties>
</file>