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120"/>
          <w:szCs w:val="120"/>
          <w:u w:val="single"/>
        </w:rPr>
      </w:pPr>
      <w:bookmarkStart w:colFirst="0" w:colLast="0" w:name="_r2mkq0wwbomb" w:id="0"/>
      <w:bookmarkEnd w:id="0"/>
      <w:r w:rsidDel="00000000" w:rsidR="00000000" w:rsidRPr="00000000">
        <w:rPr>
          <w:b w:val="1"/>
          <w:bCs w:val="1"/>
          <w:sz w:val="120"/>
          <w:szCs w:val="120"/>
          <w:u w:val="single"/>
          <w:rtl w:val="0"/>
        </w:rPr>
        <w:t xml:space="preserve">F.O.D.A.</w:t>
      </w:r>
    </w:p>
    <w:p w:rsidR="00000000" w:rsidDel="00000000" w:rsidP="00000000" w:rsidRDefault="00000000" w:rsidRPr="00000000" w14:paraId="00000002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  <w:vertAlign w:val="superscript"/>
        </w:rPr>
      </w:pP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Grupo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: Jeremias Nieto, Santiago Diaz, Tiziano Giacomozzi, Gian Arguello, Alba Spitalnik</w:t>
      </w:r>
    </w:p>
    <w:p w:rsidR="00000000" w:rsidDel="00000000" w:rsidP="00000000" w:rsidRDefault="00000000" w:rsidRPr="00000000" w14:paraId="00000005">
      <w:pPr>
        <w:rPr>
          <w:sz w:val="36"/>
          <w:szCs w:val="36"/>
          <w:vertAlign w:val="superscript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vertAlign w:val="superscript"/>
          <w:rtl w:val="0"/>
        </w:rPr>
        <w:t xml:space="preserve">División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: 5 º1</w:t>
      </w:r>
    </w:p>
    <w:p w:rsidR="00000000" w:rsidDel="00000000" w:rsidP="00000000" w:rsidRDefault="00000000" w:rsidRPr="00000000" w14:paraId="00000006">
      <w:pPr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  <w:vertAlign w:val="superscript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vertAlign w:val="superscript"/>
          <w:rtl w:val="0"/>
        </w:rPr>
        <w:t xml:space="preserve">Año</w:t>
      </w:r>
      <w:r w:rsidDel="00000000" w:rsidR="00000000" w:rsidRPr="00000000">
        <w:rPr>
          <w:sz w:val="36"/>
          <w:szCs w:val="36"/>
          <w:vertAlign w:val="superscript"/>
          <w:rtl w:val="0"/>
        </w:rPr>
        <w:t xml:space="preserve">: 2026</w:t>
      </w:r>
    </w:p>
    <w:p w:rsidR="00000000" w:rsidDel="00000000" w:rsidP="00000000" w:rsidRDefault="00000000" w:rsidRPr="00000000" w14:paraId="00000008">
      <w:pPr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  <w:sz w:val="36"/>
          <w:szCs w:val="36"/>
          <w:vertAlign w:val="superscript"/>
        </w:rPr>
      </w:pPr>
      <w:r w:rsidDel="00000000" w:rsidR="00000000" w:rsidRPr="00000000">
        <w:rPr>
          <w:sz w:val="36"/>
          <w:szCs w:val="36"/>
          <w:vertAlign w:val="superscript"/>
        </w:rPr>
        <w:drawing>
          <wp:inline distB="114300" distT="114300" distL="114300" distR="114300">
            <wp:extent cx="5072063" cy="5072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507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.0085183526817"/>
        <w:gridCol w:w="1689.9363307741874"/>
        <w:gridCol w:w="1752.5265652473054"/>
        <w:gridCol w:w="1852.670940404294"/>
        <w:gridCol w:w="1990.369456245154"/>
        <w:tblGridChange w:id="0">
          <w:tblGrid>
            <w:gridCol w:w="1740.0085183526817"/>
            <w:gridCol w:w="1689.9363307741874"/>
            <w:gridCol w:w="1752.5265652473054"/>
            <w:gridCol w:w="1852.670940404294"/>
            <w:gridCol w:w="1990.369456245154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Fortalezas (Internas / Positivas)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Oportunidades (Externas / Positivas)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Debilidades (Internas / Negativas)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Amenazas (Externas / Negativas)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Análisis y Diseño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Cobertura integral del negocio inmobiliario: contempla usuarios, roles, franquicias, visitas, contratos, alquileres, ventas y auditorías.</w:t>
            </w:r>
          </w:p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Automatización de procesos legales y generación de notificaciones por correo o reportes en PDF para los clientes.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Elevada complejidad para mantener la coherencia de datos debido al alto número de tablas interrelacionadas.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Riesgo de retrasos por alcance demasiado extenso (</w:t>
            </w:r>
            <w:r w:rsidDel="00000000" w:rsidR="00000000" w:rsidRPr="00000000">
              <w:rPr>
                <w:i w:val="1"/>
                <w:iCs w:val="1"/>
                <w:color w:val="1f1f1f"/>
                <w:sz w:val="36"/>
                <w:szCs w:val="36"/>
                <w:vertAlign w:val="superscript"/>
                <w:rtl w:val="0"/>
              </w:rPr>
              <w:t xml:space="preserve">scope creep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) en los plazos académicos definidos.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Base de Datos (MySQL / XAMPP)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Esquema relacional normalizado con integridad referencial, restricciones 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UNIQUE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y procedimientos almacenados dinámicos.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Crear índices en columnas clave y optimizar procedimientos almacenados para responder con mayor rapidez ante altos volúmenes de consultas.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La concatenación de consultas dinámicas en los 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PROCÉDURE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requiere control estricto para evitar vulnerabilidades de seguridad.</w:t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Dependencia directa de la estabilidad del servicio MySQL en XAMPP local para el correcto funcionamiento de la app.</w:t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Backend y Arquitectura (Spring Boot / POO)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Arquitectura robusta basada en Java, aplicando patrones DAO y servidor Tomcat embebido.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Extender la API REST para permitir la futura conexión con aplicaciones móviles o marcos de trabajo avanzados.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Dificultad para depurar errores de mapeo de objetos y excepciones entre Java y la base de datos.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Incompatibilidades de versiones entre las dependencias de Maven (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pom.xml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), el JDK de Java y los conectores JDBC.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Redes e Infraestructura (Puertos / Localhost)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Entorno local configurable que permite simular peticiones web en puertos específicos (ej. puerto 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8086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Migrar el servidor local a un servicio de la nube (como Render o Railway) para pruebas en entornos de producción reales.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Conflictos frecuentes de puertos por procesos de Java que quedan activos en segundo plano, requiriendo su cierre manual (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taskkill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Bloqueos por parte del firewall del sistema operativo o reglas de red que impidan el tráfico HTTP local.</w:t>
            </w:r>
          </w:p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6"/>
                <w:szCs w:val="36"/>
                <w:vertAlign w:val="superscript"/>
                <w:rtl w:val="0"/>
              </w:rPr>
              <w:t xml:space="preserve">Frontend e Interfaz (HTML, CSS, JS)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Comunicación asíncrona ligera mediante 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fetch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(JSON) y archivos estáticos servidos directo por Spring Boot.</w:t>
            </w:r>
          </w:p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Incorporar librerías de diseño y componentes interactivos para mejorar la interfaz y la experiencia de usuario (UX).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Validaciones de formularios dependientes del cliente que requieren una gestión rigurosa de errores HTTP en JavaScript.</w:t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Almacenamiento en caché por parte del navegador web que puede impedir la visualización inmediata de cambios en scripts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vertAlign w:val="superscript"/>
                <w:rtl w:val="0"/>
              </w:rPr>
              <w:t xml:space="preserve">.</w:t>
            </w: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js</w:t>
            </w:r>
            <w:r w:rsidDel="00000000" w:rsidR="00000000" w:rsidRPr="00000000">
              <w:rPr>
                <w:color w:val="1f1f1f"/>
                <w:sz w:val="36"/>
                <w:szCs w:val="36"/>
                <w:vertAlign w:val="superscript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7">
      <w:pPr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