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 Engineering Fundamentals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List: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65"/>
        <w:gridCol w:w="6840"/>
        <w:tblGridChange w:id="0">
          <w:tblGrid>
            <w:gridCol w:w="3465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1.3: Building Your First Agent in Flowise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Flowise Chatflow: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my_first_chatflow.json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1.5: Debugging Context Flow with LangSmith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Compose YML file for Flowise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1.6: Managing Context with Token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Flowise Agentflow: Multi_Turn_Research_Agent.json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1.7: Context-Aware Agent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Flowise Agentflow: context_aware_agent.json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2.3: Implementing Multi-Query Retrieval in Flowise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Flowise Chatflow: multi_query_retrieval.json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2.5: Building RAG with Metadata Filtering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Flowise Chatflow: metadata_filter.json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2.6: Reranking for Precision Retrieval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Flowise Chatflow: query_rerank_chroma.json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2.8: Optimized RAG Pipeline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Flowise Chatflow: rerank_MF_PC_hrpolicy.json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(Jupyter Notebook): chroma_hr_policy.ipynb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3.6: Research-Summarization-Decision 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Flowise Agentflow: Planner-Researcher-Summarizer-agent.json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3.8: Multi-Agent System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Flowise Agentflow: customer_support_multi_agent_with_HITL.json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4.4: Implementing AI Guardrails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Flowise Agentflow: Comprehensive_Guardrails_pipeline.json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4.6: Building Safe RAG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Flowise Agentflow: SAFE_RAG_grounding.json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4.7: Secure Context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Flowise Agentflow: Secure_Production_Agent.json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49AC583-FCA7-4344-A1B1-65725AE645A5}"/>
</file>

<file path=customXml/itemProps2.xml><?xml version="1.0" encoding="utf-8"?>
<ds:datastoreItem xmlns:ds="http://schemas.openxmlformats.org/officeDocument/2006/customXml" ds:itemID="{F3CB5CC0-2EC5-4760-ABDA-B6EE3A0D8882}"/>
</file>

<file path=customXml/itemProps3.xml><?xml version="1.0" encoding="utf-8"?>
<ds:datastoreItem xmlns:ds="http://schemas.openxmlformats.org/officeDocument/2006/customXml" ds:itemID="{CC49412A-57AF-4D81-9514-262D66375910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</Properties>
</file>