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SWTID1741162795150827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Cryptoverse: A Cryptocurrency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Identify the Best Tech Solution: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Utilize modern front-end frameworks (React.js) and APIs (RapidAPI, CoinGecko) to provide a seamless and interactive crypto market tracking experience.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Define Structure &amp; Characteristics: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Ensure a modular, scalable, and maintainable software architecture that supports future feature enhancements like AI-based price predictions and DeFi analytics.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Outline Features &amp; Development Phases: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Establish Specifications for Development &amp; Delivery: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 well-defined guidelines for system architecture, API integrations, data flow, and real-time data handling.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a high-performance backend to support large-scale user requests without delays.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/>
        <w:drawing>
          <wp:inline distB="0" distT="0" distL="0" distR="0">
            <wp:extent cx="5731510" cy="4735830"/>
            <wp:effectExtent b="0" l="0" r="0" t="0"/>
            <wp:docPr id="5899468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kwaTYvMBL5DHm6qB+76vcmA9uQ==">CgMxLjA4AHIhMVpsTW1NMEtTUHBRajFHdGVZVUZTWncwLVNkam1BNnho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