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F3864" w:val="clear"/>
            <w:tcMar>
              <w:top w:type="dxa" w:w="200"/>
              <w:left w:type="dxa" w:w="320"/>
              <w:bottom w:type="dxa" w:w="200"/>
              <w:right w:type="dxa" w:w="320"/>
            </w:tcMar>
          </w:tcPr>
          <w:p>
            <w:pPr>
              <w:spacing w:after="80"/>
              <w:jc w:val="center"/>
            </w:pPr>
            <w:r>
              <w:rPr>
                <w:rFonts w:ascii="Arial" w:cs="Arial" w:eastAsia="Arial" w:hAnsi="Arial"/>
                <w:b/>
                <w:bCs/>
                <w:color w:val="FFFFFF"/>
                <w:sz w:val="18"/>
                <w:szCs w:val="18"/>
              </w:rPr>
              <w:t xml:space="preserve">DEPARTMENT OF COMMERCE &amp; ECONOMICS</w:t>
            </w:r>
          </w:p>
          <w:p>
            <w:pPr>
              <w:spacing w:after="0"/>
              <w:jc w:val="center"/>
            </w:pPr>
            <w:r>
              <w:rPr>
                <w:rFonts w:ascii="Arial" w:cs="Arial" w:eastAsia="Arial" w:hAnsi="Arial"/>
                <w:color w:val="AACDEF"/>
                <w:sz w:val="18"/>
                <w:szCs w:val="18"/>
              </w:rPr>
              <w:t xml:space="preserve">RESEARCH PAPER — ACADEMIC YEAR 2025–2026</w:t>
            </w:r>
          </w:p>
        </w:tc>
      </w:tr>
    </w:tbl>
    <w:p>
      <w:pPr>
        <w:spacing w:after="400" w:before="0"/>
      </w:pPr>
      <w:r>
        <w:t xml:space="preserve"/>
      </w:r>
    </w:p>
    <w:p>
      <w:pPr>
        <w:spacing w:after="120"/>
        <w:jc w:val="center"/>
      </w:pPr>
      <w:r>
        <w:rPr>
          <w:rFonts w:ascii="Arial" w:cs="Arial" w:eastAsia="Arial" w:hAnsi="Arial"/>
          <w:b/>
          <w:bCs/>
          <w:color w:val="1F3864"/>
          <w:sz w:val="44"/>
          <w:szCs w:val="44"/>
        </w:rPr>
        <w:t xml:space="preserve">Impact of Inflation on Middle-Class</w:t>
      </w:r>
    </w:p>
    <w:p>
      <w:pPr>
        <w:spacing w:after="320"/>
        <w:jc w:val="center"/>
      </w:pPr>
      <w:r>
        <w:rPr>
          <w:rFonts w:ascii="Arial" w:cs="Arial" w:eastAsia="Arial" w:hAnsi="Arial"/>
          <w:b/>
          <w:bCs/>
          <w:color w:val="1F3864"/>
          <w:sz w:val="44"/>
          <w:szCs w:val="44"/>
        </w:rPr>
        <w:t xml:space="preserve">Household Savings in India</w:t>
      </w:r>
    </w:p>
    <w:p>
      <w:pPr>
        <w:spacing w:after="80"/>
        <w:jc w:val="center"/>
      </w:pPr>
      <w:r>
        <w:rPr>
          <w:rFonts w:ascii="Arial" w:cs="Arial" w:eastAsia="Arial" w:hAnsi="Arial"/>
          <w:i/>
          <w:iCs/>
          <w:color w:val="2E5090"/>
          <w:sz w:val="26"/>
          <w:szCs w:val="26"/>
        </w:rPr>
        <w:t xml:space="preserve">A Commerce Perspective</w:t>
      </w:r>
    </w:p>
    <w:p>
      <w:pPr>
        <w:spacing w:after="48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r>
              <w:rPr>
                <w:rFonts w:ascii="Arial" w:cs="Arial" w:eastAsia="Arial" w:hAnsi="Arial"/>
                <w:b/>
                <w:bCs/>
                <w:color w:val="1F3864"/>
                <w:sz w:val="20"/>
                <w:szCs w:val="20"/>
              </w:rPr>
              <w:t xml:space="preserve">Submitted By</w:t>
            </w:r>
          </w:p>
        </w:tc>
        <w:tc>
          <w:tcPr>
            <w:tcW w:type="dxa" w:w="3800"/>
            <w:tcBorders>
              <w:top w:val="single" w:color="BBBBBB" w:sz="4"/>
              <w:left w:val="single" w:color="BBBBBB" w:sz="4"/>
              <w:bottom w:val="single" w:color="BBBBBB" w:sz="4"/>
              <w:right w:val="single" w:color="BBBBBB" w:sz="4"/>
            </w:tcBorders>
            <w:tcMar>
              <w:top w:type="dxa" w:w="80"/>
              <w:left w:type="dxa" w:w="140"/>
              <w:bottom w:type="dxa" w:w="80"/>
              <w:right w:type="dxa" w:w="140"/>
            </w:tcMar>
          </w:tcPr>
          <w:p>
            <w:r>
              <w:rPr>
                <w:rFonts w:ascii="Arial" w:cs="Arial" w:eastAsia="Arial" w:hAnsi="Arial"/>
                <w:sz w:val="20"/>
                <w:szCs w:val="20"/>
              </w:rPr>
              <w:t xml:space="preserve">[Your Full Name]  |  [Enrolment No.]</w:t>
            </w:r>
          </w:p>
        </w:tc>
      </w:tr>
      <w:tr>
        <w:tc>
          <w:tcPr>
            <w:tcW w:type="dxa" w:w="2200"/>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r>
              <w:rPr>
                <w:rFonts w:ascii="Arial" w:cs="Arial" w:eastAsia="Arial" w:hAnsi="Arial"/>
                <w:b/>
                <w:bCs/>
                <w:color w:val="1F3864"/>
                <w:sz w:val="20"/>
                <w:szCs w:val="20"/>
              </w:rPr>
              <w:t xml:space="preserve">Guide / Supervisor</w:t>
            </w:r>
          </w:p>
        </w:tc>
        <w:tc>
          <w:tcPr>
            <w:tcW w:type="dxa" w:w="3800"/>
            <w:tcBorders>
              <w:top w:val="single" w:color="BBBBBB" w:sz="4"/>
              <w:left w:val="single" w:color="BBBBBB" w:sz="4"/>
              <w:bottom w:val="single" w:color="BBBBBB" w:sz="4"/>
              <w:right w:val="single" w:color="BBBBBB" w:sz="4"/>
            </w:tcBorders>
            <w:tcMar>
              <w:top w:type="dxa" w:w="80"/>
              <w:left w:type="dxa" w:w="140"/>
              <w:bottom w:type="dxa" w:w="80"/>
              <w:right w:type="dxa" w:w="140"/>
            </w:tcMar>
          </w:tcPr>
          <w:p>
            <w:r>
              <w:rPr>
                <w:rFonts w:ascii="Arial" w:cs="Arial" w:eastAsia="Arial" w:hAnsi="Arial"/>
                <w:sz w:val="20"/>
                <w:szCs w:val="20"/>
              </w:rPr>
              <w:t xml:space="preserve">[Professor's Name],  [Designation]</w:t>
            </w:r>
          </w:p>
        </w:tc>
      </w:tr>
      <w:tr>
        <w:tc>
          <w:tcPr>
            <w:tcW w:type="dxa" w:w="2200"/>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r>
              <w:rPr>
                <w:rFonts w:ascii="Arial" w:cs="Arial" w:eastAsia="Arial" w:hAnsi="Arial"/>
                <w:b/>
                <w:bCs/>
                <w:color w:val="1F3864"/>
                <w:sz w:val="20"/>
                <w:szCs w:val="20"/>
              </w:rPr>
              <w:t xml:space="preserve">Institution</w:t>
            </w:r>
          </w:p>
        </w:tc>
        <w:tc>
          <w:tcPr>
            <w:tcW w:type="dxa" w:w="3800"/>
            <w:tcBorders>
              <w:top w:val="single" w:color="BBBBBB" w:sz="4"/>
              <w:left w:val="single" w:color="BBBBBB" w:sz="4"/>
              <w:bottom w:val="single" w:color="BBBBBB" w:sz="4"/>
              <w:right w:val="single" w:color="BBBBBB" w:sz="4"/>
            </w:tcBorders>
            <w:tcMar>
              <w:top w:type="dxa" w:w="80"/>
              <w:left w:type="dxa" w:w="140"/>
              <w:bottom w:type="dxa" w:w="80"/>
              <w:right w:type="dxa" w:w="140"/>
            </w:tcMar>
          </w:tcPr>
          <w:p>
            <w:r>
              <w:rPr>
                <w:rFonts w:ascii="Arial" w:cs="Arial" w:eastAsia="Arial" w:hAnsi="Arial"/>
                <w:sz w:val="20"/>
                <w:szCs w:val="20"/>
              </w:rPr>
              <w:t xml:space="preserve">[College / University Name]</w:t>
            </w:r>
          </w:p>
        </w:tc>
      </w:tr>
      <w:tr>
        <w:tc>
          <w:tcPr>
            <w:tcW w:type="dxa" w:w="2200"/>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r>
              <w:rPr>
                <w:rFonts w:ascii="Arial" w:cs="Arial" w:eastAsia="Arial" w:hAnsi="Arial"/>
                <w:b/>
                <w:bCs/>
                <w:color w:val="1F3864"/>
                <w:sz w:val="20"/>
                <w:szCs w:val="20"/>
              </w:rPr>
              <w:t xml:space="preserve">Date of Submission</w:t>
            </w:r>
          </w:p>
        </w:tc>
        <w:tc>
          <w:tcPr>
            <w:tcW w:type="dxa" w:w="3800"/>
            <w:tcBorders>
              <w:top w:val="single" w:color="BBBBBB" w:sz="4"/>
              <w:left w:val="single" w:color="BBBBBB" w:sz="4"/>
              <w:bottom w:val="single" w:color="BBBBBB" w:sz="4"/>
              <w:right w:val="single" w:color="BBBBBB" w:sz="4"/>
            </w:tcBorders>
            <w:tcMar>
              <w:top w:type="dxa" w:w="80"/>
              <w:left w:type="dxa" w:w="140"/>
              <w:bottom w:type="dxa" w:w="80"/>
              <w:right w:type="dxa" w:w="140"/>
            </w:tcMar>
          </w:tcPr>
          <w:p>
            <w:r>
              <w:rPr>
                <w:rFonts w:ascii="Arial" w:cs="Arial" w:eastAsia="Arial" w:hAnsi="Arial"/>
                <w:sz w:val="20"/>
                <w:szCs w:val="20"/>
              </w:rPr>
              <w:t xml:space="preserve">June 2026</w:t>
            </w:r>
          </w:p>
        </w:tc>
      </w:tr>
    </w:tbl>
    <w:p>
      <w:r>
        <w:br/>
      </w:r>
    </w:p>
    <w:p>
      <w:pPr>
        <w:pStyle w:val="Heading1"/>
        <w:pBdr>
          <w:bottom w:val="single" w:color="1F3864" w:sz="6" w:space="4"/>
        </w:pBdr>
        <w:spacing w:after="160" w:before="400"/>
        <w:jc w:val="left"/>
      </w:pPr>
      <w:r>
        <w:rPr>
          <w:rFonts w:ascii="Arial" w:cs="Arial" w:eastAsia="Arial" w:hAnsi="Arial"/>
          <w:b/>
          <w:bCs/>
          <w:color w:val="1F3864"/>
          <w:sz w:val="30"/>
          <w:szCs w:val="30"/>
        </w:rPr>
        <w:t xml:space="preserve">ABSTRACT</w:t>
      </w:r>
    </w:p>
    <w:p>
      <w:pPr>
        <w:spacing w:after="180" w:before="0" w:line="360" w:lineRule="auto"/>
        <w:ind w:firstLine="720"/>
        <w:jc w:val="both"/>
      </w:pPr>
      <w:r>
        <w:rPr>
          <w:rFonts w:ascii="Arial" w:cs="Arial" w:eastAsia="Arial" w:hAnsi="Arial"/>
          <w:sz w:val="24"/>
          <w:szCs w:val="24"/>
        </w:rPr>
        <w:t xml:space="preserve">Inflation — the sustained rise in the general price level of goods and services — has far-reaching consequences for household financial behaviour, particularly for middle-class families who represent India's largest and most commercially active segment. This paper examines the impact of inflation on middle-class household savings in India from a commerce perspective, focusing on consumer spending patterns, personal financial management, banking behaviour, and the role of commercial financial products. Drawing on secondary data from the Reserve Bank of India (RBI), the National Statistical Office (NSO), and published studies spanning 2010 to 2024, the paper analyses how inflationary pressures erode real income, shift consumption expenditure, and reduce net savings. The findings reveal a significant inverse relationship between inflation and household financial savings for India's middle-income segment. The study concludes with actionable recommendations for businesses, banks, and policymakers to help middle-class households better manage their finances in an inflationary environment.</w:t>
      </w:r>
    </w:p>
    <w:p>
      <w:pPr>
        <w:spacing w:after="80" w:before="0"/>
      </w:pPr>
      <w:r>
        <w:t xml:space="preserve"/>
      </w:r>
    </w:p>
    <w:p>
      <w:pPr>
        <w:spacing w:after="180" w:before="0" w:line="360" w:lineRule="auto"/>
        <w:ind/>
        <w:jc w:val="left"/>
      </w:pPr>
      <w:r>
        <w:rPr>
          <w:rFonts w:ascii="Arial" w:cs="Arial" w:eastAsia="Arial" w:hAnsi="Arial"/>
          <w:b/>
          <w:bCs/>
          <w:sz w:val="24"/>
          <w:szCs w:val="24"/>
        </w:rPr>
        <w:t xml:space="preserve">Keywords: </w:t>
      </w:r>
      <w:r>
        <w:rPr>
          <w:rFonts w:ascii="Arial" w:cs="Arial" w:eastAsia="Arial" w:hAnsi="Arial"/>
          <w:i/>
          <w:iCs/>
          <w:sz w:val="24"/>
          <w:szCs w:val="24"/>
        </w:rPr>
        <w:t xml:space="preserve">Inflation, Household Savings, Middle Class, Consumer Price Index, Financial Products, Banking, India, Commerce</w:t>
      </w:r>
    </w:p>
    <w:p>
      <w:r>
        <w:br/>
      </w:r>
    </w:p>
    <w:p>
      <w:pPr>
        <w:pStyle w:val="Heading1"/>
        <w:pBdr>
          <w:bottom w:val="single" w:color="1F3864" w:sz="6" w:space="4"/>
        </w:pBdr>
        <w:spacing w:after="160" w:before="400"/>
        <w:jc w:val="left"/>
      </w:pPr>
      <w:r>
        <w:rPr>
          <w:rFonts w:ascii="Arial" w:cs="Arial" w:eastAsia="Arial" w:hAnsi="Arial"/>
          <w:b/>
          <w:bCs/>
          <w:color w:val="1F3864"/>
          <w:sz w:val="30"/>
          <w:szCs w:val="30"/>
        </w:rPr>
        <w:t xml:space="preserve">1.  INTRODUCTION</w:t>
      </w:r>
    </w:p>
    <w:p>
      <w:pPr>
        <w:pStyle w:val="Heading2"/>
        <w:spacing w:after="120" w:before="280"/>
      </w:pPr>
      <w:r>
        <w:rPr>
          <w:rFonts w:ascii="Arial" w:cs="Arial" w:eastAsia="Arial" w:hAnsi="Arial"/>
          <w:b/>
          <w:bCs/>
          <w:color w:val="2E5090"/>
          <w:sz w:val="26"/>
          <w:szCs w:val="26"/>
        </w:rPr>
        <w:t xml:space="preserve">1.1  Background</w:t>
      </w:r>
    </w:p>
    <w:p>
      <w:pPr>
        <w:spacing w:after="180" w:before="0" w:line="360" w:lineRule="auto"/>
        <w:ind w:firstLine="720"/>
        <w:jc w:val="both"/>
      </w:pPr>
      <w:r>
        <w:rPr>
          <w:rFonts w:ascii="Arial" w:cs="Arial" w:eastAsia="Arial" w:hAnsi="Arial"/>
          <w:sz w:val="24"/>
          <w:szCs w:val="24"/>
        </w:rPr>
        <w:t xml:space="preserve">Commerce, at its core, is concerned with the flow of money, goods, and services between individuals, businesses, and institutions. Household savings are a critical engine of this flow — they determine the availability of capital for investment, drive demand for financial products, and shape consumer spending behaviour. When inflation disrupts household saving capacity, the effects ripple through the entire commercial ecosystem: banks face deposit volatility, insurance companies see reduced premium collections, mutual funds experience declining inflows, and retailers observe shifts in consumer expenditure patterns.</w:t>
      </w:r>
    </w:p>
    <w:p>
      <w:pPr>
        <w:spacing w:after="180" w:before="0" w:line="360" w:lineRule="auto"/>
        <w:ind w:firstLine="720"/>
        <w:jc w:val="both"/>
      </w:pPr>
      <w:r>
        <w:rPr>
          <w:rFonts w:ascii="Arial" w:cs="Arial" w:eastAsia="Arial" w:hAnsi="Arial"/>
          <w:sz w:val="24"/>
          <w:szCs w:val="24"/>
        </w:rPr>
        <w:t xml:space="preserve">India's middle class — estimated at over 300 million individuals — is the backbone of the country's consumption-led growth. Unlike low-income households with minimal savings and high-income households with diversified asset portfolios, middle-class households hold a disproportionately large share of their wealth in traditional financial instruments: bank fixed deposits, provident funds, life insurance policies, and small savings schemes. These instruments are highly vulnerable to inflation, as their nominal returns are often fixed and fail to keep pace with rising prices.</w:t>
      </w:r>
    </w:p>
    <w:p>
      <w:pPr>
        <w:pStyle w:val="Heading2"/>
        <w:spacing w:after="120" w:before="280"/>
      </w:pPr>
      <w:r>
        <w:rPr>
          <w:rFonts w:ascii="Arial" w:cs="Arial" w:eastAsia="Arial" w:hAnsi="Arial"/>
          <w:b/>
          <w:bCs/>
          <w:color w:val="2E5090"/>
          <w:sz w:val="26"/>
          <w:szCs w:val="26"/>
        </w:rPr>
        <w:t xml:space="preserve">1.2  Commerce-Specific Context</w:t>
      </w:r>
    </w:p>
    <w:p>
      <w:pPr>
        <w:spacing w:after="180" w:before="0" w:line="360" w:lineRule="auto"/>
        <w:ind w:firstLine="720"/>
        <w:jc w:val="both"/>
      </w:pPr>
      <w:r>
        <w:rPr>
          <w:rFonts w:ascii="Arial" w:cs="Arial" w:eastAsia="Arial" w:hAnsi="Arial"/>
          <w:sz w:val="24"/>
          <w:szCs w:val="24"/>
        </w:rPr>
        <w:t xml:space="preserve">From a commerce standpoint, the inflation–savings relationship affects three key stakeholders simultaneously:</w:t>
      </w:r>
    </w:p>
    <w:p>
      <w:pPr>
        <w:pStyle w:val="ListParagraph"/>
        <w:numPr>
          <w:ilvl w:val="0"/>
          <w:numId w:val="2"/>
        </w:numPr>
        <w:spacing w:after="80" w:before="40"/>
      </w:pPr>
      <w:r>
        <w:rPr>
          <w:rFonts w:ascii="Arial" w:cs="Arial" w:eastAsia="Arial" w:hAnsi="Arial"/>
          <w:sz w:val="24"/>
          <w:szCs w:val="24"/>
        </w:rPr>
        <w:t xml:space="preserve">Households (consumers): reduced real income → lower discretionary saving → changed consumption basket</w:t>
      </w:r>
    </w:p>
    <w:p>
      <w:pPr>
        <w:pStyle w:val="ListParagraph"/>
        <w:numPr>
          <w:ilvl w:val="0"/>
          <w:numId w:val="2"/>
        </w:numPr>
        <w:spacing w:after="80" w:before="40"/>
      </w:pPr>
      <w:r>
        <w:rPr>
          <w:rFonts w:ascii="Arial" w:cs="Arial" w:eastAsia="Arial" w:hAnsi="Arial"/>
          <w:sz w:val="24"/>
          <w:szCs w:val="24"/>
        </w:rPr>
        <w:t xml:space="preserve">Financial institutions (banks, NBFCs, insurers): reduced deposit mobilisation → pressure on credit supply → product redesign</w:t>
      </w:r>
    </w:p>
    <w:p>
      <w:pPr>
        <w:pStyle w:val="ListParagraph"/>
        <w:numPr>
          <w:ilvl w:val="0"/>
          <w:numId w:val="2"/>
        </w:numPr>
        <w:spacing w:after="80" w:before="40"/>
      </w:pPr>
      <w:r>
        <w:rPr>
          <w:rFonts w:ascii="Arial" w:cs="Arial" w:eastAsia="Arial" w:hAnsi="Arial"/>
          <w:sz w:val="24"/>
          <w:szCs w:val="24"/>
        </w:rPr>
        <w:t xml:space="preserve">Businesses (retailers, FMCG, e-commerce): shift in consumer spending priorities → demand for value products → changed inventory strategies</w:t>
      </w:r>
    </w:p>
    <w:p>
      <w:pPr>
        <w:spacing w:after="80" w:before="0"/>
      </w:pPr>
      <w:r>
        <w:t xml:space="preserve"/>
      </w:r>
    </w:p>
    <w:p>
      <w:pPr>
        <w:spacing w:after="180" w:before="0" w:line="360" w:lineRule="auto"/>
        <w:ind w:firstLine="720"/>
        <w:jc w:val="both"/>
      </w:pPr>
      <w:r>
        <w:rPr>
          <w:rFonts w:ascii="Arial" w:cs="Arial" w:eastAsia="Arial" w:hAnsi="Arial"/>
          <w:sz w:val="24"/>
          <w:szCs w:val="24"/>
        </w:rPr>
        <w:t xml:space="preserve">Understanding this multi-stakeholder dynamic is what distinguishes a commerce-oriented analysis from a purely economics one.</w:t>
      </w:r>
    </w:p>
    <w:p>
      <w:pPr>
        <w:pStyle w:val="Heading2"/>
        <w:spacing w:after="120" w:before="280"/>
      </w:pPr>
      <w:r>
        <w:rPr>
          <w:rFonts w:ascii="Arial" w:cs="Arial" w:eastAsia="Arial" w:hAnsi="Arial"/>
          <w:b/>
          <w:bCs/>
          <w:color w:val="2E5090"/>
          <w:sz w:val="26"/>
          <w:szCs w:val="26"/>
        </w:rPr>
        <w:t xml:space="preserve">1.3  Research Objectives</w:t>
      </w:r>
    </w:p>
    <w:p>
      <w:pPr>
        <w:spacing w:after="180" w:before="0" w:line="360" w:lineRule="auto"/>
        <w:ind/>
        <w:jc w:val="both"/>
      </w:pPr>
      <w:r>
        <w:rPr>
          <w:rFonts w:ascii="Arial" w:cs="Arial" w:eastAsia="Arial" w:hAnsi="Arial"/>
          <w:sz w:val="24"/>
          <w:szCs w:val="24"/>
        </w:rPr>
        <w:t xml:space="preserve">This paper is guided by the following objectives:</w:t>
      </w:r>
    </w:p>
    <w:p>
      <w:pPr>
        <w:pStyle w:val="ListParagraph"/>
        <w:numPr>
          <w:ilvl w:val="0"/>
          <w:numId w:val="3"/>
        </w:numPr>
        <w:spacing w:after="80" w:before="40"/>
      </w:pPr>
      <w:r>
        <w:rPr>
          <w:rFonts w:ascii="Arial" w:cs="Arial" w:eastAsia="Arial" w:hAnsi="Arial"/>
          <w:sz w:val="24"/>
          <w:szCs w:val="24"/>
        </w:rPr>
        <w:t xml:space="preserve">To trace the trend of inflation and household savings in India from 2010–11 to 2023–24.</w:t>
      </w:r>
    </w:p>
    <w:p>
      <w:pPr>
        <w:pStyle w:val="ListParagraph"/>
        <w:numPr>
          <w:ilvl w:val="0"/>
          <w:numId w:val="3"/>
        </w:numPr>
        <w:spacing w:after="80" w:before="40"/>
      </w:pPr>
      <w:r>
        <w:rPr>
          <w:rFonts w:ascii="Arial" w:cs="Arial" w:eastAsia="Arial" w:hAnsi="Arial"/>
          <w:sz w:val="24"/>
          <w:szCs w:val="24"/>
        </w:rPr>
        <w:t xml:space="preserve">To analyse the impact of inflation on consumer spending and saving behaviour from a commercial finance perspective.</w:t>
      </w:r>
    </w:p>
    <w:p>
      <w:pPr>
        <w:pStyle w:val="ListParagraph"/>
        <w:numPr>
          <w:ilvl w:val="0"/>
          <w:numId w:val="3"/>
        </w:numPr>
        <w:spacing w:after="80" w:before="40"/>
      </w:pPr>
      <w:r>
        <w:rPr>
          <w:rFonts w:ascii="Arial" w:cs="Arial" w:eastAsia="Arial" w:hAnsi="Arial"/>
          <w:sz w:val="24"/>
          <w:szCs w:val="24"/>
        </w:rPr>
        <w:t xml:space="preserve">To examine how middle-class households reallocate savings across financial and physical assets during inflationary periods.</w:t>
      </w:r>
    </w:p>
    <w:p>
      <w:pPr>
        <w:pStyle w:val="ListParagraph"/>
        <w:numPr>
          <w:ilvl w:val="0"/>
          <w:numId w:val="3"/>
        </w:numPr>
        <w:spacing w:after="80" w:before="40"/>
      </w:pPr>
      <w:r>
        <w:rPr>
          <w:rFonts w:ascii="Arial" w:cs="Arial" w:eastAsia="Arial" w:hAnsi="Arial"/>
          <w:sz w:val="24"/>
          <w:szCs w:val="24"/>
        </w:rPr>
        <w:t xml:space="preserve">To assess the commercial implications for banks, insurance companies, and retail businesses.</w:t>
      </w:r>
    </w:p>
    <w:p>
      <w:pPr>
        <w:pStyle w:val="ListParagraph"/>
        <w:numPr>
          <w:ilvl w:val="0"/>
          <w:numId w:val="3"/>
        </w:numPr>
        <w:spacing w:after="80" w:before="40"/>
      </w:pPr>
      <w:r>
        <w:rPr>
          <w:rFonts w:ascii="Arial" w:cs="Arial" w:eastAsia="Arial" w:hAnsi="Arial"/>
          <w:sz w:val="24"/>
          <w:szCs w:val="24"/>
        </w:rPr>
        <w:t xml:space="preserve">To recommend practical strategies for households, financial institutions, and policymakers.</w:t>
      </w:r>
    </w:p>
    <w:p>
      <w:r>
        <w:br/>
      </w:r>
    </w:p>
    <w:p>
      <w:pPr>
        <w:pStyle w:val="Heading1"/>
        <w:pBdr>
          <w:bottom w:val="single" w:color="1F3864" w:sz="6" w:space="4"/>
        </w:pBdr>
        <w:spacing w:after="160" w:before="400"/>
        <w:jc w:val="left"/>
      </w:pPr>
      <w:r>
        <w:rPr>
          <w:rFonts w:ascii="Arial" w:cs="Arial" w:eastAsia="Arial" w:hAnsi="Arial"/>
          <w:b/>
          <w:bCs/>
          <w:color w:val="1F3864"/>
          <w:sz w:val="30"/>
          <w:szCs w:val="30"/>
        </w:rPr>
        <w:t xml:space="preserve">2.  REVIEW OF LITERATURE</w:t>
      </w:r>
    </w:p>
    <w:p>
      <w:pPr>
        <w:pStyle w:val="Heading2"/>
        <w:spacing w:after="120" w:before="280"/>
      </w:pPr>
      <w:r>
        <w:rPr>
          <w:rFonts w:ascii="Arial" w:cs="Arial" w:eastAsia="Arial" w:hAnsi="Arial"/>
          <w:b/>
          <w:bCs/>
          <w:color w:val="2E5090"/>
          <w:sz w:val="26"/>
          <w:szCs w:val="26"/>
        </w:rPr>
        <w:t xml:space="preserve">2.1  Theoretical Framework</w:t>
      </w:r>
    </w:p>
    <w:p>
      <w:pPr>
        <w:spacing w:after="180" w:before="0" w:line="360" w:lineRule="auto"/>
        <w:ind w:firstLine="720"/>
        <w:jc w:val="both"/>
      </w:pPr>
      <w:r>
        <w:rPr>
          <w:rFonts w:ascii="Arial" w:cs="Arial" w:eastAsia="Arial" w:hAnsi="Arial"/>
          <w:sz w:val="24"/>
          <w:szCs w:val="24"/>
        </w:rPr>
        <w:t xml:space="preserve">The life-cycle hypothesis (Modigliani &amp; Brumberg, 1954) argues that households smooth consumption over their lifetimes, building savings during peak earning years. Inflation disrupts this plan by reducing the real value of accumulated savings, forcing households to revise their saving targets upward merely to maintain the same real wealth. From a commerce perspective, this revision often comes at the expense of discretionary spending — directly impacting retail and consumer goods businesses.</w:t>
      </w:r>
    </w:p>
    <w:p>
      <w:pPr>
        <w:spacing w:after="180" w:before="0" w:line="360" w:lineRule="auto"/>
        <w:ind w:firstLine="720"/>
        <w:jc w:val="both"/>
      </w:pPr>
      <w:r>
        <w:rPr>
          <w:rFonts w:ascii="Arial" w:cs="Arial" w:eastAsia="Arial" w:hAnsi="Arial"/>
          <w:sz w:val="24"/>
          <w:szCs w:val="24"/>
        </w:rPr>
        <w:t xml:space="preserve">The permanent income hypothesis (Friedman, 1957) draws a distinction between permanent and transitory income changes. Sustained inflation, perceived as permanent, prompts households to reduce consumption and increase precautionary savings. However, if real incomes fall simultaneously, the capacity to save is constrained — creating a paradox of increased saving intent but reduced saving ability.</w:t>
      </w:r>
    </w:p>
    <w:p>
      <w:pPr>
        <w:pStyle w:val="Heading2"/>
        <w:spacing w:after="120" w:before="280"/>
      </w:pPr>
      <w:r>
        <w:rPr>
          <w:rFonts w:ascii="Arial" w:cs="Arial" w:eastAsia="Arial" w:hAnsi="Arial"/>
          <w:b/>
          <w:bCs/>
          <w:color w:val="2E5090"/>
          <w:sz w:val="26"/>
          <w:szCs w:val="26"/>
        </w:rPr>
        <w:t xml:space="preserve">2.2  Empirical Evidence — India</w:t>
      </w:r>
    </w:p>
    <w:p>
      <w:pPr>
        <w:spacing w:after="180" w:before="0" w:line="360" w:lineRule="auto"/>
        <w:ind w:firstLine="720"/>
        <w:jc w:val="both"/>
      </w:pPr>
      <w:r>
        <w:rPr>
          <w:rFonts w:ascii="Arial" w:cs="Arial" w:eastAsia="Arial" w:hAnsi="Arial"/>
          <w:sz w:val="24"/>
          <w:szCs w:val="24"/>
        </w:rPr>
        <w:t xml:space="preserve">Athukorala and Sen (2004) documented a significant negative relationship between inflation and India's household saving rate over 1954–1998, noting that each percentage point rise in inflation was associated with a 0.3 percentage point decline in the saving rate. Chowdhury (2015), using NSS household data, found that middle-class families specifically reduced financial savings — particularly bank deposits and mutual fund investments — during high-inflation episodes.</w:t>
      </w:r>
    </w:p>
    <w:p>
      <w:pPr>
        <w:spacing w:after="180" w:before="0" w:line="360" w:lineRule="auto"/>
        <w:ind w:firstLine="720"/>
        <w:jc w:val="both"/>
      </w:pPr>
      <w:r>
        <w:rPr>
          <w:rFonts w:ascii="Arial" w:cs="Arial" w:eastAsia="Arial" w:hAnsi="Arial"/>
          <w:sz w:val="24"/>
          <w:szCs w:val="24"/>
        </w:rPr>
        <w:t xml:space="preserve">Misra and Suresh (2022) examined post-pandemic inflationary shocks and found that urban middle-class households in the ₹25,000–₹75,000 monthly income bracket experienced a 15–22% decline in annual net savings, with expenditure rising steeply on food, fuel, and healthcare. Commercially, this translated into reduced SIP (Systematic Investment Plan) contributions and increased withdrawals from insurance savings plans.</w:t>
      </w:r>
    </w:p>
    <w:p>
      <w:pPr>
        <w:pStyle w:val="Heading2"/>
        <w:spacing w:after="120" w:before="280"/>
      </w:pPr>
      <w:r>
        <w:rPr>
          <w:rFonts w:ascii="Arial" w:cs="Arial" w:eastAsia="Arial" w:hAnsi="Arial"/>
          <w:b/>
          <w:bCs/>
          <w:color w:val="2E5090"/>
          <w:sz w:val="26"/>
          <w:szCs w:val="26"/>
        </w:rPr>
        <w:t xml:space="preserve">2.3  Commercial Finance Literature</w:t>
      </w:r>
    </w:p>
    <w:p>
      <w:pPr>
        <w:spacing w:after="180" w:before="0" w:line="360" w:lineRule="auto"/>
        <w:ind w:firstLine="720"/>
        <w:jc w:val="both"/>
      </w:pPr>
      <w:r>
        <w:rPr>
          <w:rFonts w:ascii="Arial" w:cs="Arial" w:eastAsia="Arial" w:hAnsi="Arial"/>
          <w:sz w:val="24"/>
          <w:szCs w:val="24"/>
        </w:rPr>
        <w:t xml:space="preserve">Basu and Sinha (2019) examined the impact of inflation on bank deposit mobilisation in India, finding that real deposit growth slowed significantly when CPI inflation exceeded 6%. They noted a substitution effect whereby households redirected savings towards gold and real estate — assets perceived as inflation hedges — at the expense of formal banking channels. This has direct commercial implications: reduced deposits constrain bank lending capacity, raising the cost of credit for businesses.</w:t>
      </w:r>
    </w:p>
    <w:p>
      <w:r>
        <w:br/>
      </w:r>
    </w:p>
    <w:p>
      <w:pPr>
        <w:pStyle w:val="Heading1"/>
        <w:pBdr>
          <w:bottom w:val="single" w:color="1F3864" w:sz="6" w:space="4"/>
        </w:pBdr>
        <w:spacing w:after="160" w:before="400"/>
        <w:jc w:val="left"/>
      </w:pPr>
      <w:r>
        <w:rPr>
          <w:rFonts w:ascii="Arial" w:cs="Arial" w:eastAsia="Arial" w:hAnsi="Arial"/>
          <w:b/>
          <w:bCs/>
          <w:color w:val="1F3864"/>
          <w:sz w:val="30"/>
          <w:szCs w:val="30"/>
        </w:rPr>
        <w:t xml:space="preserve">3.  RESEARCH METHODOLOGY</w:t>
      </w:r>
    </w:p>
    <w:p>
      <w:pPr>
        <w:pStyle w:val="Heading2"/>
        <w:spacing w:after="120" w:before="280"/>
      </w:pPr>
      <w:r>
        <w:rPr>
          <w:rFonts w:ascii="Arial" w:cs="Arial" w:eastAsia="Arial" w:hAnsi="Arial"/>
          <w:b/>
          <w:bCs/>
          <w:color w:val="2E5090"/>
          <w:sz w:val="26"/>
          <w:szCs w:val="26"/>
        </w:rPr>
        <w:t xml:space="preserve">3.1  Research Design</w:t>
      </w:r>
    </w:p>
    <w:p>
      <w:pPr>
        <w:spacing w:after="180" w:before="0" w:line="360" w:lineRule="auto"/>
        <w:ind w:firstLine="720"/>
        <w:jc w:val="both"/>
      </w:pPr>
      <w:r>
        <w:rPr>
          <w:rFonts w:ascii="Arial" w:cs="Arial" w:eastAsia="Arial" w:hAnsi="Arial"/>
          <w:sz w:val="24"/>
          <w:szCs w:val="24"/>
        </w:rPr>
        <w:t xml:space="preserve">This study adopts a descriptive and analytical research design using secondary data. No primary data collection has been undertaken. The design is appropriate for identifying trends, patterns, and relationships between macroeconomic variables and household financial behaviour.</w:t>
      </w:r>
    </w:p>
    <w:p>
      <w:pPr>
        <w:pStyle w:val="Heading2"/>
        <w:spacing w:after="120" w:before="280"/>
      </w:pPr>
      <w:r>
        <w:rPr>
          <w:rFonts w:ascii="Arial" w:cs="Arial" w:eastAsia="Arial" w:hAnsi="Arial"/>
          <w:b/>
          <w:bCs/>
          <w:color w:val="2E5090"/>
          <w:sz w:val="26"/>
          <w:szCs w:val="26"/>
        </w:rPr>
        <w:t xml:space="preserve">3.2  Data Sources</w:t>
      </w:r>
    </w:p>
    <w:p>
      <w:pPr>
        <w:spacing w:after="180" w:before="0" w:line="360" w:lineRule="auto"/>
        <w:ind/>
        <w:jc w:val="both"/>
      </w:pPr>
      <w:r>
        <w:rPr>
          <w:rFonts w:ascii="Arial" w:cs="Arial" w:eastAsia="Arial" w:hAnsi="Arial"/>
          <w:sz w:val="24"/>
          <w:szCs w:val="24"/>
        </w:rPr>
        <w:t xml:space="preserve">The following authoritative secondary sources have been used:</w:t>
      </w:r>
    </w:p>
    <w:p>
      <w:pPr>
        <w:pStyle w:val="ListParagraph"/>
        <w:numPr>
          <w:ilvl w:val="0"/>
          <w:numId w:val="2"/>
        </w:numPr>
        <w:spacing w:after="80" w:before="40"/>
      </w:pPr>
      <w:r>
        <w:rPr>
          <w:rFonts w:ascii="Arial" w:cs="Arial" w:eastAsia="Arial" w:hAnsi="Arial"/>
          <w:sz w:val="24"/>
          <w:szCs w:val="24"/>
        </w:rPr>
        <w:t xml:space="preserve">Reserve Bank of India (RBI) Annual Reports, 2010–2024: household financial savings, interest rates, credit data</w:t>
      </w:r>
    </w:p>
    <w:p>
      <w:pPr>
        <w:pStyle w:val="ListParagraph"/>
        <w:numPr>
          <w:ilvl w:val="0"/>
          <w:numId w:val="2"/>
        </w:numPr>
        <w:spacing w:after="80" w:before="40"/>
      </w:pPr>
      <w:r>
        <w:rPr>
          <w:rFonts w:ascii="Arial" w:cs="Arial" w:eastAsia="Arial" w:hAnsi="Arial"/>
          <w:sz w:val="24"/>
          <w:szCs w:val="24"/>
        </w:rPr>
        <w:t xml:space="preserve">National Statistical Office (NSO) / MoSPI: Gross Domestic Saving, Household Consumption Expenditure Survey</w:t>
      </w:r>
    </w:p>
    <w:p>
      <w:pPr>
        <w:pStyle w:val="ListParagraph"/>
        <w:numPr>
          <w:ilvl w:val="0"/>
          <w:numId w:val="2"/>
        </w:numPr>
        <w:spacing w:after="80" w:before="40"/>
      </w:pPr>
      <w:r>
        <w:rPr>
          <w:rFonts w:ascii="Arial" w:cs="Arial" w:eastAsia="Arial" w:hAnsi="Arial"/>
          <w:sz w:val="24"/>
          <w:szCs w:val="24"/>
        </w:rPr>
        <w:t xml:space="preserve">SEBI Annual Reports: mutual fund inflows, SIP data, retail investor trends</w:t>
      </w:r>
    </w:p>
    <w:p>
      <w:pPr>
        <w:pStyle w:val="ListParagraph"/>
        <w:numPr>
          <w:ilvl w:val="0"/>
          <w:numId w:val="2"/>
        </w:numPr>
        <w:spacing w:after="80" w:before="40"/>
      </w:pPr>
      <w:r>
        <w:rPr>
          <w:rFonts w:ascii="Arial" w:cs="Arial" w:eastAsia="Arial" w:hAnsi="Arial"/>
          <w:sz w:val="24"/>
          <w:szCs w:val="24"/>
        </w:rPr>
        <w:t xml:space="preserve">Insurance Regulatory and Development Authority (IRDAI): premium collection and policy lapse data</w:t>
      </w:r>
    </w:p>
    <w:p>
      <w:pPr>
        <w:pStyle w:val="ListParagraph"/>
        <w:numPr>
          <w:ilvl w:val="0"/>
          <w:numId w:val="2"/>
        </w:numPr>
        <w:spacing w:after="80" w:before="40"/>
      </w:pPr>
      <w:r>
        <w:rPr>
          <w:rFonts w:ascii="Arial" w:cs="Arial" w:eastAsia="Arial" w:hAnsi="Arial"/>
          <w:sz w:val="24"/>
          <w:szCs w:val="24"/>
        </w:rPr>
        <w:t xml:space="preserve">World Bank Open Data: comparative inflation and savings data</w:t>
      </w:r>
    </w:p>
    <w:p>
      <w:pPr>
        <w:pStyle w:val="ListParagraph"/>
        <w:numPr>
          <w:ilvl w:val="0"/>
          <w:numId w:val="2"/>
        </w:numPr>
        <w:spacing w:after="80" w:before="40"/>
      </w:pPr>
      <w:r>
        <w:rPr>
          <w:rFonts w:ascii="Arial" w:cs="Arial" w:eastAsia="Arial" w:hAnsi="Arial"/>
          <w:sz w:val="24"/>
          <w:szCs w:val="24"/>
        </w:rPr>
        <w:t xml:space="preserve">Published peer-reviewed studies from Economic and Political Weekly, Indian Economic Review, Finance India</w:t>
      </w:r>
    </w:p>
    <w:p>
      <w:pPr>
        <w:pStyle w:val="Heading2"/>
        <w:spacing w:after="120" w:before="280"/>
      </w:pPr>
      <w:r>
        <w:rPr>
          <w:rFonts w:ascii="Arial" w:cs="Arial" w:eastAsia="Arial" w:hAnsi="Arial"/>
          <w:b/>
          <w:bCs/>
          <w:color w:val="2E5090"/>
          <w:sz w:val="26"/>
          <w:szCs w:val="26"/>
        </w:rPr>
        <w:t xml:space="preserve">3.3  Definition of Middle Class</w:t>
      </w:r>
    </w:p>
    <w:p>
      <w:pPr>
        <w:spacing w:after="180" w:before="0" w:line="360" w:lineRule="auto"/>
        <w:ind w:firstLine="720"/>
        <w:jc w:val="both"/>
      </w:pPr>
      <w:r>
        <w:rPr>
          <w:rFonts w:ascii="Arial" w:cs="Arial" w:eastAsia="Arial" w:hAnsi="Arial"/>
          <w:sz w:val="24"/>
          <w:szCs w:val="24"/>
        </w:rPr>
        <w:t xml:space="preserve">Consistent with the PRICE (People Research on India's Consumer Economy) framework, middle-class households are defined as those with monthly incomes between ₹25,000 and ₹1,00,000 (approximately USD 300–1,200 at 2023 exchange rates). This segment accounts for approximately 31% of India's urban population.</w:t>
      </w:r>
    </w:p>
    <w:p>
      <w:pPr>
        <w:pStyle w:val="Heading2"/>
        <w:spacing w:after="120" w:before="280"/>
      </w:pPr>
      <w:r>
        <w:rPr>
          <w:rFonts w:ascii="Arial" w:cs="Arial" w:eastAsia="Arial" w:hAnsi="Arial"/>
          <w:b/>
          <w:bCs/>
          <w:color w:val="2E5090"/>
          <w:sz w:val="26"/>
          <w:szCs w:val="26"/>
        </w:rPr>
        <w:t xml:space="preserve">3.4  Limitations</w:t>
      </w:r>
    </w:p>
    <w:p>
      <w:pPr>
        <w:spacing w:after="180" w:before="0" w:line="360" w:lineRule="auto"/>
        <w:ind w:firstLine="720"/>
        <w:jc w:val="both"/>
      </w:pPr>
      <w:r>
        <w:rPr>
          <w:rFonts w:ascii="Arial" w:cs="Arial" w:eastAsia="Arial" w:hAnsi="Arial"/>
          <w:sz w:val="24"/>
          <w:szCs w:val="24"/>
        </w:rPr>
        <w:t xml:space="preserve">Key limitations include: (a) aggregate secondary data may mask intra-group heterogeneity; (b) informal savings in gold and cash are inadequately captured in official statistics; and (c) causal inference is limited without controlled experimental conditions.</w:t>
      </w:r>
    </w:p>
    <w:p>
      <w:r>
        <w:br/>
      </w:r>
    </w:p>
    <w:p>
      <w:pPr>
        <w:pStyle w:val="Heading1"/>
        <w:pBdr>
          <w:bottom w:val="single" w:color="1F3864" w:sz="6" w:space="4"/>
        </w:pBdr>
        <w:spacing w:after="160" w:before="400"/>
        <w:jc w:val="left"/>
      </w:pPr>
      <w:r>
        <w:rPr>
          <w:rFonts w:ascii="Arial" w:cs="Arial" w:eastAsia="Arial" w:hAnsi="Arial"/>
          <w:b/>
          <w:bCs/>
          <w:color w:val="1F3864"/>
          <w:sz w:val="30"/>
          <w:szCs w:val="30"/>
        </w:rPr>
        <w:t xml:space="preserve">4.  DATA ANALYSIS AND DISCUSSION</w:t>
      </w:r>
    </w:p>
    <w:p>
      <w:pPr>
        <w:pStyle w:val="Heading2"/>
        <w:spacing w:after="120" w:before="280"/>
      </w:pPr>
      <w:r>
        <w:rPr>
          <w:rFonts w:ascii="Arial" w:cs="Arial" w:eastAsia="Arial" w:hAnsi="Arial"/>
          <w:b/>
          <w:bCs/>
          <w:color w:val="2E5090"/>
          <w:sz w:val="26"/>
          <w:szCs w:val="26"/>
        </w:rPr>
        <w:t xml:space="preserve">4.1  Inflation Trends in India (2010–2024)</w:t>
      </w:r>
    </w:p>
    <w:p>
      <w:pPr>
        <w:spacing w:after="180" w:before="0" w:line="360" w:lineRule="auto"/>
        <w:ind w:firstLine="720"/>
        <w:jc w:val="both"/>
      </w:pPr>
      <w:r>
        <w:rPr>
          <w:rFonts w:ascii="Arial" w:cs="Arial" w:eastAsia="Arial" w:hAnsi="Arial"/>
          <w:sz w:val="24"/>
          <w:szCs w:val="24"/>
        </w:rPr>
        <w:t xml:space="preserve">India's inflationary experience over the study period falls into three distinct phases: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Period</w:t>
            </w:r>
          </w:p>
        </w:tc>
        <w:tc>
          <w:tcPr>
            <w:tcW w:type="dxa" w:w="5426"/>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Characteristics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Phase I</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2010–2014</w:t>
            </w:r>
          </w:p>
        </w:tc>
        <w:tc>
          <w:tcPr>
            <w:tcW w:type="dxa" w:w="54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High inflation (avg. 9.5% p.a.). Food and fuel-driven. Supply-side shocks. Negative real deposit rates.</w:t>
            </w:r>
          </w:p>
        </w:tc>
      </w:tr>
      <w:tr>
        <w:tc>
          <w:tcPr>
            <w:tcW w:type="dxa" w:w="1800"/>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pPr>
              <w:jc w:val="center"/>
            </w:pPr>
            <w:r>
              <w:rPr>
                <w:rFonts w:ascii="Arial" w:cs="Arial" w:eastAsia="Arial" w:hAnsi="Arial"/>
                <w:sz w:val="20"/>
                <w:szCs w:val="20"/>
              </w:rPr>
              <w:t xml:space="preserve">Phase II</w:t>
            </w:r>
          </w:p>
        </w:tc>
        <w:tc>
          <w:tcPr>
            <w:tcW w:type="dxa" w:w="1800"/>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pPr>
              <w:jc w:val="center"/>
            </w:pPr>
            <w:r>
              <w:rPr>
                <w:rFonts w:ascii="Arial" w:cs="Arial" w:eastAsia="Arial" w:hAnsi="Arial"/>
                <w:sz w:val="20"/>
                <w:szCs w:val="20"/>
              </w:rPr>
              <w:t xml:space="preserve">2015–2020</w:t>
            </w:r>
          </w:p>
        </w:tc>
        <w:tc>
          <w:tcPr>
            <w:tcW w:type="dxa" w:w="5426"/>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pPr>
              <w:jc w:val="left"/>
            </w:pPr>
            <w:r>
              <w:rPr>
                <w:rFonts w:ascii="Arial" w:cs="Arial" w:eastAsia="Arial" w:hAnsi="Arial"/>
                <w:sz w:val="20"/>
                <w:szCs w:val="20"/>
              </w:rPr>
              <w:t xml:space="preserve">Moderate inflation (avg. 4.2% p.a.). RBI flexible inflation targeting introduced. Household saving rate partially recovered.</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Phase III</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2021–2024</w:t>
            </w:r>
          </w:p>
        </w:tc>
        <w:tc>
          <w:tcPr>
            <w:tcW w:type="dxa" w:w="54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Resurgent inflation (avg. 6.1% p.a.). COVID-19 supply disruptions, Russia–Ukraine war. Above RBI's 6% tolerance band.</w:t>
            </w:r>
          </w:p>
        </w:tc>
      </w:tr>
    </w:tbl>
    <w:p>
      <w:pPr>
        <w:spacing w:after="200" w:before="0"/>
      </w:pPr>
      <w:r>
        <w:t xml:space="preserve"/>
      </w:r>
    </w:p>
    <w:p>
      <w:pPr>
        <w:pStyle w:val="Heading2"/>
        <w:spacing w:after="120" w:before="280"/>
      </w:pPr>
      <w:r>
        <w:rPr>
          <w:rFonts w:ascii="Arial" w:cs="Arial" w:eastAsia="Arial" w:hAnsi="Arial"/>
          <w:b/>
          <w:bCs/>
          <w:color w:val="2E5090"/>
          <w:sz w:val="26"/>
          <w:szCs w:val="26"/>
        </w:rPr>
        <w:t xml:space="preserve">4.2  Household Savings Trends</w:t>
      </w:r>
    </w:p>
    <w:p>
      <w:pPr>
        <w:spacing w:after="180" w:before="0" w:line="360" w:lineRule="auto"/>
        <w:ind w:firstLine="720"/>
        <w:jc w:val="both"/>
      </w:pPr>
      <w:r>
        <w:rPr>
          <w:rFonts w:ascii="Arial" w:cs="Arial" w:eastAsia="Arial" w:hAnsi="Arial"/>
          <w:sz w:val="24"/>
          <w:szCs w:val="24"/>
        </w:rPr>
        <w:t xml:space="preserve">India's household financial savings as a percentage of GDP declined from 7.6% in 2011–12 to 5.1% in 2022–23 (RBI data). A summary of key indicators is presented below:</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c>
          <w:tcPr>
            <w:tcW w:type="dxa" w:w="24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Indicator</w:t>
            </w:r>
          </w:p>
        </w:tc>
        <w:tc>
          <w:tcPr>
            <w:tcW w:type="dxa" w:w="22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2011–12</w:t>
            </w:r>
          </w:p>
        </w:tc>
        <w:tc>
          <w:tcPr>
            <w:tcW w:type="dxa" w:w="22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2017–18</w:t>
            </w:r>
          </w:p>
        </w:tc>
        <w:tc>
          <w:tcPr>
            <w:tcW w:type="dxa" w:w="2226"/>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2022–23</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Household Financial Saving (% of GDP)</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7.6%</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6.8%</w:t>
            </w:r>
          </w:p>
        </w:tc>
        <w:tc>
          <w:tcPr>
            <w:tcW w:type="dxa" w:w="2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5.1%</w:t>
            </w:r>
          </w:p>
        </w:tc>
      </w:tr>
      <w:tr>
        <w:tc>
          <w:tcPr>
            <w:tcW w:type="dxa" w:w="2400"/>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pPr>
              <w:jc w:val="left"/>
            </w:pPr>
            <w:r>
              <w:rPr>
                <w:rFonts w:ascii="Arial" w:cs="Arial" w:eastAsia="Arial" w:hAnsi="Arial"/>
                <w:sz w:val="20"/>
                <w:szCs w:val="20"/>
              </w:rPr>
              <w:t xml:space="preserve">CPI Inflation (annual avg.)</w:t>
            </w:r>
          </w:p>
        </w:tc>
        <w:tc>
          <w:tcPr>
            <w:tcW w:type="dxa" w:w="2200"/>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pPr>
              <w:jc w:val="center"/>
            </w:pPr>
            <w:r>
              <w:rPr>
                <w:rFonts w:ascii="Arial" w:cs="Arial" w:eastAsia="Arial" w:hAnsi="Arial"/>
                <w:sz w:val="20"/>
                <w:szCs w:val="20"/>
              </w:rPr>
              <w:t xml:space="preserve">9.5%</w:t>
            </w:r>
          </w:p>
        </w:tc>
        <w:tc>
          <w:tcPr>
            <w:tcW w:type="dxa" w:w="2200"/>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pPr>
              <w:jc w:val="center"/>
            </w:pPr>
            <w:r>
              <w:rPr>
                <w:rFonts w:ascii="Arial" w:cs="Arial" w:eastAsia="Arial" w:hAnsi="Arial"/>
                <w:sz w:val="20"/>
                <w:szCs w:val="20"/>
              </w:rPr>
              <w:t xml:space="preserve">3.3%</w:t>
            </w:r>
          </w:p>
        </w:tc>
        <w:tc>
          <w:tcPr>
            <w:tcW w:type="dxa" w:w="2226"/>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pPr>
              <w:jc w:val="center"/>
            </w:pPr>
            <w:r>
              <w:rPr>
                <w:rFonts w:ascii="Arial" w:cs="Arial" w:eastAsia="Arial" w:hAnsi="Arial"/>
                <w:sz w:val="20"/>
                <w:szCs w:val="20"/>
              </w:rPr>
              <w:t xml:space="preserve">6.7%</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Avg. Bank FD Rate (1-yr)</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8.5%</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6.5%</w:t>
            </w:r>
          </w:p>
        </w:tc>
        <w:tc>
          <w:tcPr>
            <w:tcW w:type="dxa" w:w="2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5.5%</w:t>
            </w:r>
          </w:p>
        </w:tc>
      </w:tr>
      <w:tr>
        <w:tc>
          <w:tcPr>
            <w:tcW w:type="dxa" w:w="2400"/>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pPr>
              <w:jc w:val="left"/>
            </w:pPr>
            <w:r>
              <w:rPr>
                <w:rFonts w:ascii="Arial" w:cs="Arial" w:eastAsia="Arial" w:hAnsi="Arial"/>
                <w:sz w:val="20"/>
                <w:szCs w:val="20"/>
              </w:rPr>
              <w:t xml:space="preserve">Real Return on FD (approx.)</w:t>
            </w:r>
          </w:p>
        </w:tc>
        <w:tc>
          <w:tcPr>
            <w:tcW w:type="dxa" w:w="2200"/>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pPr>
              <w:jc w:val="center"/>
            </w:pPr>
            <w:r>
              <w:rPr>
                <w:rFonts w:ascii="Arial" w:cs="Arial" w:eastAsia="Arial" w:hAnsi="Arial"/>
                <w:sz w:val="20"/>
                <w:szCs w:val="20"/>
              </w:rPr>
              <w:t xml:space="preserve">–1.0%</w:t>
            </w:r>
          </w:p>
        </w:tc>
        <w:tc>
          <w:tcPr>
            <w:tcW w:type="dxa" w:w="2200"/>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pPr>
              <w:jc w:val="center"/>
            </w:pPr>
            <w:r>
              <w:rPr>
                <w:rFonts w:ascii="Arial" w:cs="Arial" w:eastAsia="Arial" w:hAnsi="Arial"/>
                <w:sz w:val="20"/>
                <w:szCs w:val="20"/>
              </w:rPr>
              <w:t xml:space="preserve">+3.2%</w:t>
            </w:r>
          </w:p>
        </w:tc>
        <w:tc>
          <w:tcPr>
            <w:tcW w:type="dxa" w:w="2226"/>
            <w:tcBorders>
              <w:top w:val="single" w:color="BBBBBB" w:sz="4"/>
              <w:left w:val="single" w:color="BBBBBB" w:sz="4"/>
              <w:bottom w:val="single" w:color="BBBBBB" w:sz="4"/>
              <w:right w:val="single" w:color="BBBBBB" w:sz="4"/>
            </w:tcBorders>
            <w:shd w:fill="EEF2F8" w:val="clear"/>
            <w:tcMar>
              <w:top w:type="dxa" w:w="80"/>
              <w:left w:type="dxa" w:w="140"/>
              <w:bottom w:type="dxa" w:w="80"/>
              <w:right w:type="dxa" w:w="140"/>
            </w:tcMar>
          </w:tcPr>
          <w:p>
            <w:pPr>
              <w:jc w:val="center"/>
            </w:pPr>
            <w:r>
              <w:rPr>
                <w:rFonts w:ascii="Arial" w:cs="Arial" w:eastAsia="Arial" w:hAnsi="Arial"/>
                <w:sz w:val="20"/>
                <w:szCs w:val="20"/>
              </w:rPr>
              <w:t xml:space="preserve">–1.2%</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Share of Physical Savings in Total HH Savings</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45%</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48%</w:t>
            </w:r>
          </w:p>
        </w:tc>
        <w:tc>
          <w:tcPr>
            <w:tcW w:type="dxa" w:w="2226"/>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56%</w:t>
            </w:r>
          </w:p>
        </w:tc>
      </w:tr>
    </w:tbl>
    <w:p>
      <w:pPr>
        <w:spacing w:after="80" w:before="0"/>
      </w:pPr>
      <w:r>
        <w:t xml:space="preserve"/>
      </w:r>
    </w:p>
    <w:p>
      <w:pPr>
        <w:spacing w:after="180" w:before="0" w:line="360" w:lineRule="auto"/>
        <w:ind/>
        <w:jc w:val="left"/>
      </w:pPr>
      <w:r>
        <w:rPr>
          <w:rFonts w:ascii="Arial" w:cs="Arial" w:eastAsia="Arial" w:hAnsi="Arial"/>
          <w:i/>
          <w:iCs/>
          <w:color w:val="666666"/>
          <w:sz w:val="24"/>
          <w:szCs w:val="24"/>
        </w:rPr>
        <w:t xml:space="preserve">Source: RBI Handbook of Statistics on the Indian Economy (2024); NSO National Accounts Statistics.</w:t>
      </w:r>
    </w:p>
    <w:p>
      <w:pPr>
        <w:spacing w:after="160" w:before="0"/>
      </w:pPr>
      <w:r>
        <w:t xml:space="preserve"/>
      </w:r>
    </w:p>
    <w:p>
      <w:pPr>
        <w:pStyle w:val="Heading2"/>
        <w:spacing w:after="120" w:before="280"/>
      </w:pPr>
      <w:r>
        <w:rPr>
          <w:rFonts w:ascii="Arial" w:cs="Arial" w:eastAsia="Arial" w:hAnsi="Arial"/>
          <w:b/>
          <w:bCs/>
          <w:color w:val="2E5090"/>
          <w:sz w:val="26"/>
          <w:szCs w:val="26"/>
        </w:rPr>
        <w:t xml:space="preserve">4.3  Four Commercial Channels of Impact</w:t>
      </w:r>
    </w:p>
    <w:p>
      <w:pPr>
        <w:spacing w:after="180" w:before="0" w:line="360" w:lineRule="auto"/>
        <w:ind w:firstLine="720"/>
        <w:jc w:val="both"/>
      </w:pPr>
      <w:r>
        <w:rPr>
          <w:rFonts w:ascii="Arial" w:cs="Arial" w:eastAsia="Arial" w:hAnsi="Arial"/>
          <w:sz w:val="24"/>
          <w:szCs w:val="24"/>
        </w:rPr>
        <w:t xml:space="preserve">From a commerce perspective, inflation affects middle-class household savings through four interconnected channels:</w:t>
      </w:r>
    </w:p>
    <w:p>
      <w:pPr>
        <w:spacing w:after="120" w:before="0"/>
      </w:pPr>
      <w:r>
        <w:t xml:space="preserve"/>
      </w:r>
    </w:p>
    <w:p>
      <w:pPr>
        <w:spacing w:after="180" w:before="0" w:line="360" w:lineRule="auto"/>
        <w:ind/>
        <w:jc w:val="both"/>
      </w:pPr>
      <w:r>
        <w:rPr>
          <w:rFonts w:ascii="Arial" w:cs="Arial" w:eastAsia="Arial" w:hAnsi="Arial"/>
          <w:b/>
          <w:bCs/>
          <w:sz w:val="24"/>
          <w:szCs w:val="24"/>
        </w:rPr>
        <w:t xml:space="preserve">Channel 1 — Real Income Erosion and Reduced Saving Surplus</w:t>
      </w:r>
    </w:p>
    <w:p>
      <w:pPr>
        <w:spacing w:after="180" w:before="0" w:line="360" w:lineRule="auto"/>
        <w:ind w:firstLine="720"/>
        <w:jc w:val="both"/>
      </w:pPr>
      <w:r>
        <w:rPr>
          <w:rFonts w:ascii="Arial" w:cs="Arial" w:eastAsia="Arial" w:hAnsi="Arial"/>
          <w:sz w:val="24"/>
          <w:szCs w:val="24"/>
        </w:rPr>
        <w:t xml:space="preserve">When nominal wages grow slower than inflation, real disposable income falls. Salaried middle-class employees — a core segment of India's commercial workforce — often face sticky wages, particularly in the private sector. With less real income available, the surplus after essential expenditure (the source of savings) shrinks. This directly impacts the inflow of retail deposits into commercial banks and contributions to employer-provident schemes.</w:t>
      </w:r>
    </w:p>
    <w:p>
      <w:pPr>
        <w:spacing w:after="80" w:before="0"/>
      </w:pPr>
      <w:r>
        <w:t xml:space="preserve"/>
      </w:r>
    </w:p>
    <w:p>
      <w:pPr>
        <w:spacing w:after="180" w:before="0" w:line="360" w:lineRule="auto"/>
        <w:ind/>
        <w:jc w:val="both"/>
      </w:pPr>
      <w:r>
        <w:rPr>
          <w:rFonts w:ascii="Arial" w:cs="Arial" w:eastAsia="Arial" w:hAnsi="Arial"/>
          <w:b/>
          <w:bCs/>
          <w:sz w:val="24"/>
          <w:szCs w:val="24"/>
        </w:rPr>
        <w:t xml:space="preserve">Channel 2 — Composition Shift in Household Expenditure</w:t>
      </w:r>
    </w:p>
    <w:p>
      <w:pPr>
        <w:spacing w:after="180" w:before="0" w:line="360" w:lineRule="auto"/>
        <w:ind w:firstLine="720"/>
        <w:jc w:val="both"/>
      </w:pPr>
      <w:r>
        <w:rPr>
          <w:rFonts w:ascii="Arial" w:cs="Arial" w:eastAsia="Arial" w:hAnsi="Arial"/>
          <w:sz w:val="24"/>
          <w:szCs w:val="24"/>
        </w:rPr>
        <w:t xml:space="preserve">Inflation in essential goods forces households to allocate a greater share of income to necessities, crowding out both discretionary spending and saving. The NSO Household Consumption Expenditure Survey (2022–23) indicates that the expenditure share of food, fuel, and housing for middle-income urban households rose from 52% in 2011–12 to 60% in 2022–23. Commercially, this shift benefits essential goods retailers and FMCG companies while adversely impacting financial services firms that depend on discretionary saving flows.</w:t>
      </w:r>
    </w:p>
    <w:p>
      <w:pPr>
        <w:spacing w:after="80" w:before="0"/>
      </w:pPr>
      <w:r>
        <w:t xml:space="preserve"/>
      </w:r>
    </w:p>
    <w:p>
      <w:pPr>
        <w:spacing w:after="180" w:before="0" w:line="360" w:lineRule="auto"/>
        <w:ind/>
        <w:jc w:val="both"/>
      </w:pPr>
      <w:r>
        <w:rPr>
          <w:rFonts w:ascii="Arial" w:cs="Arial" w:eastAsia="Arial" w:hAnsi="Arial"/>
          <w:b/>
          <w:bCs/>
          <w:sz w:val="24"/>
          <w:szCs w:val="24"/>
        </w:rPr>
        <w:t xml:space="preserve">Channel 3 — Negative Real Returns on Commercial Savings Products</w:t>
      </w:r>
    </w:p>
    <w:p>
      <w:pPr>
        <w:spacing w:after="180" w:before="0" w:line="360" w:lineRule="auto"/>
        <w:ind w:firstLine="720"/>
        <w:jc w:val="both"/>
      </w:pPr>
      <w:r>
        <w:rPr>
          <w:rFonts w:ascii="Arial" w:cs="Arial" w:eastAsia="Arial" w:hAnsi="Arial"/>
          <w:sz w:val="24"/>
          <w:szCs w:val="24"/>
        </w:rPr>
        <w:t xml:space="preserve">A substantial share of middle-class savings is held in commercial financial products: bank fixed deposits, recurring deposits, Public Provident Fund, National Savings Certificates, and life insurance savings plans. When CPI inflation exceeds nominal product yields, real returns turn negative. As shown in the table above, real FD returns were approximately –1.0% in 2011–12 and –1.2% in 2022–23. Negative real returns erode confidence in formal savings products, triggering outflows into physical assets (gold, real estate) and informal savings.</w:t>
      </w:r>
    </w:p>
    <w:p>
      <w:pPr>
        <w:spacing w:after="80" w:before="0"/>
      </w:pPr>
      <w:r>
        <w:t xml:space="preserve"/>
      </w:r>
    </w:p>
    <w:p>
      <w:pPr>
        <w:spacing w:after="180" w:before="0" w:line="360" w:lineRule="auto"/>
        <w:ind/>
        <w:jc w:val="both"/>
      </w:pPr>
      <w:r>
        <w:rPr>
          <w:rFonts w:ascii="Arial" w:cs="Arial" w:eastAsia="Arial" w:hAnsi="Arial"/>
          <w:b/>
          <w:bCs/>
          <w:sz w:val="24"/>
          <w:szCs w:val="24"/>
        </w:rPr>
        <w:t xml:space="preserve">Channel 4 — Increased Debt Service Burden</w:t>
      </w:r>
    </w:p>
    <w:p>
      <w:pPr>
        <w:spacing w:after="180" w:before="0" w:line="360" w:lineRule="auto"/>
        <w:ind w:firstLine="720"/>
        <w:jc w:val="both"/>
      </w:pPr>
      <w:r>
        <w:rPr>
          <w:rFonts w:ascii="Arial" w:cs="Arial" w:eastAsia="Arial" w:hAnsi="Arial"/>
          <w:sz w:val="24"/>
          <w:szCs w:val="24"/>
        </w:rPr>
        <w:t xml:space="preserve">Middle-class households are significant consumers of retail credit: home loans, vehicle loans, consumer durables loans, and education loans. When the RBI raises the repo rate to combat inflation — from 4.0% in May 2022 to 6.5% by February 2023 — commercial banks pass on the rate hike to existing floating-rate borrowers. Higher EMIs reduce disposable income and compress the saving margin further, creating a dual squeeze: inflation raises expenditure while tighter monetary policy raises debt costs.</w:t>
      </w:r>
    </w:p>
    <w:p>
      <w:r>
        <w:br/>
      </w:r>
    </w:p>
    <w:p>
      <w:pPr>
        <w:pStyle w:val="Heading1"/>
        <w:pBdr>
          <w:bottom w:val="single" w:color="1F3864" w:sz="6" w:space="4"/>
        </w:pBdr>
        <w:spacing w:after="160" w:before="400"/>
        <w:jc w:val="left"/>
      </w:pPr>
      <w:r>
        <w:rPr>
          <w:rFonts w:ascii="Arial" w:cs="Arial" w:eastAsia="Arial" w:hAnsi="Arial"/>
          <w:b/>
          <w:bCs/>
          <w:color w:val="1F3864"/>
          <w:sz w:val="30"/>
          <w:szCs w:val="30"/>
        </w:rPr>
        <w:t xml:space="preserve">5.  COMMERCIAL IMPLICATIONS</w:t>
      </w:r>
    </w:p>
    <w:p>
      <w:pPr>
        <w:pStyle w:val="Heading2"/>
        <w:spacing w:after="120" w:before="280"/>
      </w:pPr>
      <w:r>
        <w:rPr>
          <w:rFonts w:ascii="Arial" w:cs="Arial" w:eastAsia="Arial" w:hAnsi="Arial"/>
          <w:b/>
          <w:bCs/>
          <w:color w:val="2E5090"/>
          <w:sz w:val="26"/>
          <w:szCs w:val="26"/>
        </w:rPr>
        <w:t xml:space="preserve">5.1  For Commercial Banks and NBFCs</w:t>
      </w:r>
    </w:p>
    <w:p>
      <w:pPr>
        <w:spacing w:after="180" w:before="0" w:line="360" w:lineRule="auto"/>
        <w:ind w:firstLine="720"/>
        <w:jc w:val="both"/>
      </w:pPr>
      <w:r>
        <w:rPr>
          <w:rFonts w:ascii="Arial" w:cs="Arial" w:eastAsia="Arial" w:hAnsi="Arial"/>
          <w:sz w:val="24"/>
          <w:szCs w:val="24"/>
        </w:rPr>
        <w:t xml:space="preserve">Declining household saving rates directly constrain the deposit base of commercial banks. Reduced deposit mobilisation limits lendable funds, puts upward pressure on the cost of funds, and can compress net interest margins. Banks are also exposed to higher NPA risk as rising EMI burdens strain the repayment capacity of retail borrowers. NBFCs offering consumer loans face similar challenges: higher borrowing costs and reduced customer creditworthiness.</w:t>
      </w:r>
    </w:p>
    <w:p>
      <w:pPr>
        <w:pStyle w:val="Heading2"/>
        <w:spacing w:after="120" w:before="280"/>
      </w:pPr>
      <w:r>
        <w:rPr>
          <w:rFonts w:ascii="Arial" w:cs="Arial" w:eastAsia="Arial" w:hAnsi="Arial"/>
          <w:b/>
          <w:bCs/>
          <w:color w:val="2E5090"/>
          <w:sz w:val="26"/>
          <w:szCs w:val="26"/>
        </w:rPr>
        <w:t xml:space="preserve">5.2  For Insurance Companies</w:t>
      </w:r>
    </w:p>
    <w:p>
      <w:pPr>
        <w:spacing w:after="180" w:before="0" w:line="360" w:lineRule="auto"/>
        <w:ind w:firstLine="720"/>
        <w:jc w:val="both"/>
      </w:pPr>
      <w:r>
        <w:rPr>
          <w:rFonts w:ascii="Arial" w:cs="Arial" w:eastAsia="Arial" w:hAnsi="Arial"/>
          <w:sz w:val="24"/>
          <w:szCs w:val="24"/>
        </w:rPr>
        <w:t xml:space="preserve">Life insurance companies, particularly those selling savings-linked products (endowment policies, ULIPs, and money-back plans), are exposed to demand-side contraction during inflationary periods. Households under financial pressure tend to reduce premium payments or surrender policies prematurely. IRDAI data indicates that policy lapse rates for savings-type life insurance products increased from 12% in 2018–19 to 18% in 2022–23, closely correlated with the inflationary spike.</w:t>
      </w:r>
    </w:p>
    <w:p>
      <w:pPr>
        <w:pStyle w:val="Heading2"/>
        <w:spacing w:after="120" w:before="280"/>
      </w:pPr>
      <w:r>
        <w:rPr>
          <w:rFonts w:ascii="Arial" w:cs="Arial" w:eastAsia="Arial" w:hAnsi="Arial"/>
          <w:b/>
          <w:bCs/>
          <w:color w:val="2E5090"/>
          <w:sz w:val="26"/>
          <w:szCs w:val="26"/>
        </w:rPr>
        <w:t xml:space="preserve">5.3  For Mutual Fund Industry</w:t>
      </w:r>
    </w:p>
    <w:p>
      <w:pPr>
        <w:spacing w:after="180" w:before="0" w:line="360" w:lineRule="auto"/>
        <w:ind w:firstLine="720"/>
        <w:jc w:val="both"/>
      </w:pPr>
      <w:r>
        <w:rPr>
          <w:rFonts w:ascii="Arial" w:cs="Arial" w:eastAsia="Arial" w:hAnsi="Arial"/>
          <w:sz w:val="24"/>
          <w:szCs w:val="24"/>
        </w:rPr>
        <w:t xml:space="preserve">Despite the overall contraction in household financial savings, the mutual fund industry — particularly equity-linked SIPs — showed resilience. SEBI data shows that SIP inflows reached an all-time monthly high of ₹17,073 crore in October 2023, even as household financial savings rates were declining. This suggests that financially literate middle-class investors are partially reallocating savings from low-yield deposits to equity mutual funds, seeking inflation-beating returns.</w:t>
      </w:r>
    </w:p>
    <w:p>
      <w:pPr>
        <w:pStyle w:val="Heading2"/>
        <w:spacing w:after="120" w:before="280"/>
      </w:pPr>
      <w:r>
        <w:rPr>
          <w:rFonts w:ascii="Arial" w:cs="Arial" w:eastAsia="Arial" w:hAnsi="Arial"/>
          <w:b/>
          <w:bCs/>
          <w:color w:val="2E5090"/>
          <w:sz w:val="26"/>
          <w:szCs w:val="26"/>
        </w:rPr>
        <w:t xml:space="preserve">5.4  For Retail Businesses</w:t>
      </w:r>
    </w:p>
    <w:p>
      <w:pPr>
        <w:spacing w:after="180" w:before="0" w:line="360" w:lineRule="auto"/>
        <w:ind w:firstLine="720"/>
        <w:jc w:val="both"/>
      </w:pPr>
      <w:r>
        <w:rPr>
          <w:rFonts w:ascii="Arial" w:cs="Arial" w:eastAsia="Arial" w:hAnsi="Arial"/>
          <w:sz w:val="24"/>
          <w:szCs w:val="24"/>
        </w:rPr>
        <w:t xml:space="preserve">Retail and FMCG businesses face a paradoxical environment: food inflation boosts revenues in the food segment while depressing discretionary spending on electronics, apparel, and lifestyle products. Middle-class consumers exhibit greater price sensitivity and brand-switching behaviour during inflationary periods, creating pressure on margins for branded consumer goods companies. The trade-down to private labels and value formats accelerates during sustained inflation.</w:t>
      </w:r>
    </w:p>
    <w:p>
      <w:r>
        <w:br/>
      </w:r>
    </w:p>
    <w:p>
      <w:pPr>
        <w:pStyle w:val="Heading1"/>
        <w:pBdr>
          <w:bottom w:val="single" w:color="1F3864" w:sz="6" w:space="4"/>
        </w:pBdr>
        <w:spacing w:after="160" w:before="400"/>
        <w:jc w:val="left"/>
      </w:pPr>
      <w:r>
        <w:rPr>
          <w:rFonts w:ascii="Arial" w:cs="Arial" w:eastAsia="Arial" w:hAnsi="Arial"/>
          <w:b/>
          <w:bCs/>
          <w:color w:val="1F3864"/>
          <w:sz w:val="30"/>
          <w:szCs w:val="30"/>
        </w:rPr>
        <w:t xml:space="preserve">6.  KEY FINDINGS</w:t>
      </w:r>
    </w:p>
    <w:p>
      <w:pPr>
        <w:spacing w:after="180" w:before="0" w:line="360" w:lineRule="auto"/>
        <w:ind/>
        <w:jc w:val="both"/>
      </w:pPr>
      <w:r>
        <w:rPr>
          <w:rFonts w:ascii="Arial" w:cs="Arial" w:eastAsia="Arial" w:hAnsi="Arial"/>
          <w:sz w:val="24"/>
          <w:szCs w:val="24"/>
        </w:rPr>
        <w:t xml:space="preserve">The analysis yields the following key findings:</w:t>
      </w:r>
    </w:p>
    <w:p>
      <w:pPr>
        <w:spacing w:after="80" w:before="0"/>
      </w:pPr>
      <w:r>
        <w:t xml:space="preserve"/>
      </w:r>
    </w:p>
    <w:p>
      <w:pPr>
        <w:pStyle w:val="ListParagraph"/>
        <w:numPr>
          <w:ilvl w:val="0"/>
          <w:numId w:val="3"/>
        </w:numPr>
        <w:spacing w:after="80" w:before="40"/>
      </w:pPr>
      <w:r>
        <w:rPr>
          <w:rFonts w:ascii="Arial" w:cs="Arial" w:eastAsia="Arial" w:hAnsi="Arial"/>
          <w:sz w:val="24"/>
          <w:szCs w:val="24"/>
        </w:rPr>
        <w:t xml:space="preserve">There is a significant inverse relationship between CPI inflation and household financial savings in India, with middle-class households being the most commercially vulnerable segment.</w:t>
      </w:r>
    </w:p>
    <w:p>
      <w:pPr>
        <w:pStyle w:val="ListParagraph"/>
        <w:numPr>
          <w:ilvl w:val="0"/>
          <w:numId w:val="3"/>
        </w:numPr>
        <w:spacing w:after="80" w:before="40"/>
      </w:pPr>
      <w:r>
        <w:rPr>
          <w:rFonts w:ascii="Arial" w:cs="Arial" w:eastAsia="Arial" w:hAnsi="Arial"/>
          <w:sz w:val="24"/>
          <w:szCs w:val="24"/>
        </w:rPr>
        <w:t xml:space="preserve">India's household financial saving rate declined from 7.6% of GDP (2011–12) to 5.1% (2022–23), broadly tracking episodes of high inflation.</w:t>
      </w:r>
    </w:p>
    <w:p>
      <w:pPr>
        <w:pStyle w:val="ListParagraph"/>
        <w:numPr>
          <w:ilvl w:val="0"/>
          <w:numId w:val="3"/>
        </w:numPr>
        <w:spacing w:after="80" w:before="40"/>
      </w:pPr>
      <w:r>
        <w:rPr>
          <w:rFonts w:ascii="Arial" w:cs="Arial" w:eastAsia="Arial" w:hAnsi="Arial"/>
          <w:sz w:val="24"/>
          <w:szCs w:val="24"/>
        </w:rPr>
        <w:t xml:space="preserve">Real returns on conventional commercial savings products (FDs, NSC, PPF) turned negative during Phase I and Phase III, incentivising substitution towards physical assets.</w:t>
      </w:r>
    </w:p>
    <w:p>
      <w:pPr>
        <w:pStyle w:val="ListParagraph"/>
        <w:numPr>
          <w:ilvl w:val="0"/>
          <w:numId w:val="3"/>
        </w:numPr>
        <w:spacing w:after="80" w:before="40"/>
      </w:pPr>
      <w:r>
        <w:rPr>
          <w:rFonts w:ascii="Arial" w:cs="Arial" w:eastAsia="Arial" w:hAnsi="Arial"/>
          <w:sz w:val="24"/>
          <w:szCs w:val="24"/>
        </w:rPr>
        <w:t xml:space="preserve">Middle-class households responded to sustained inflation by increasing expenditure share on necessities (52% → 60%), substantially reducing the surplus available for saving and investment in commercial products.</w:t>
      </w:r>
    </w:p>
    <w:p>
      <w:pPr>
        <w:pStyle w:val="ListParagraph"/>
        <w:numPr>
          <w:ilvl w:val="0"/>
          <w:numId w:val="3"/>
        </w:numPr>
        <w:spacing w:after="80" w:before="40"/>
      </w:pPr>
      <w:r>
        <w:rPr>
          <w:rFonts w:ascii="Arial" w:cs="Arial" w:eastAsia="Arial" w:hAnsi="Arial"/>
          <w:sz w:val="24"/>
          <w:szCs w:val="24"/>
        </w:rPr>
        <w:t xml:space="preserve">Commercial banks faced tighter deposit mobilisation during inflationary phases, while insurance companies saw elevated policy lapse rates.</w:t>
      </w:r>
    </w:p>
    <w:p>
      <w:pPr>
        <w:pStyle w:val="ListParagraph"/>
        <w:numPr>
          <w:ilvl w:val="0"/>
          <w:numId w:val="3"/>
        </w:numPr>
        <w:spacing w:after="80" w:before="40"/>
      </w:pPr>
      <w:r>
        <w:rPr>
          <w:rFonts w:ascii="Arial" w:cs="Arial" w:eastAsia="Arial" w:hAnsi="Arial"/>
          <w:sz w:val="24"/>
          <w:szCs w:val="24"/>
        </w:rPr>
        <w:t xml:space="preserve">Despite overall savings contraction, equity mutual fund SIP inflows demonstrated resilience, indicating a partial portfolio rebalancing by financially aware middle-class investors.</w:t>
      </w:r>
    </w:p>
    <w:p>
      <w:pPr>
        <w:pStyle w:val="ListParagraph"/>
        <w:numPr>
          <w:ilvl w:val="0"/>
          <w:numId w:val="3"/>
        </w:numPr>
        <w:spacing w:after="80" w:before="40"/>
      </w:pPr>
      <w:r>
        <w:rPr>
          <w:rFonts w:ascii="Arial" w:cs="Arial" w:eastAsia="Arial" w:hAnsi="Arial"/>
          <w:sz w:val="24"/>
          <w:szCs w:val="24"/>
        </w:rPr>
        <w:t xml:space="preserve">The dual pressure of rising inflation and higher EMI burdens (from RBI rate hikes) created a financial squeeze unique to middle-class borrower-savers.</w:t>
      </w:r>
    </w:p>
    <w:p>
      <w:r>
        <w:br/>
      </w:r>
    </w:p>
    <w:p>
      <w:pPr>
        <w:pStyle w:val="Heading1"/>
        <w:pBdr>
          <w:bottom w:val="single" w:color="1F3864" w:sz="6" w:space="4"/>
        </w:pBdr>
        <w:spacing w:after="160" w:before="400"/>
        <w:jc w:val="left"/>
      </w:pPr>
      <w:r>
        <w:rPr>
          <w:rFonts w:ascii="Arial" w:cs="Arial" w:eastAsia="Arial" w:hAnsi="Arial"/>
          <w:b/>
          <w:bCs/>
          <w:color w:val="1F3864"/>
          <w:sz w:val="30"/>
          <w:szCs w:val="30"/>
        </w:rPr>
        <w:t xml:space="preserve">7.  RECOMMENDATIONS</w:t>
      </w:r>
    </w:p>
    <w:p>
      <w:pPr>
        <w:pStyle w:val="Heading2"/>
        <w:spacing w:after="120" w:before="280"/>
      </w:pPr>
      <w:r>
        <w:rPr>
          <w:rFonts w:ascii="Arial" w:cs="Arial" w:eastAsia="Arial" w:hAnsi="Arial"/>
          <w:b/>
          <w:bCs/>
          <w:color w:val="2E5090"/>
          <w:sz w:val="26"/>
          <w:szCs w:val="26"/>
        </w:rPr>
        <w:t xml:space="preserve">7.1  For Households</w:t>
      </w:r>
    </w:p>
    <w:p>
      <w:pPr>
        <w:pStyle w:val="ListParagraph"/>
        <w:numPr>
          <w:ilvl w:val="0"/>
          <w:numId w:val="2"/>
        </w:numPr>
        <w:spacing w:after="80" w:before="40"/>
      </w:pPr>
      <w:r>
        <w:rPr>
          <w:rFonts w:ascii="Arial" w:cs="Arial" w:eastAsia="Arial" w:hAnsi="Arial"/>
          <w:sz w:val="24"/>
          <w:szCs w:val="24"/>
        </w:rPr>
        <w:t xml:space="preserve">Diversify savings across asset classes — balance fixed-income instruments with equity mutual funds and gold ETFs to achieve inflation-beating returns.</w:t>
      </w:r>
    </w:p>
    <w:p>
      <w:pPr>
        <w:pStyle w:val="ListParagraph"/>
        <w:numPr>
          <w:ilvl w:val="0"/>
          <w:numId w:val="2"/>
        </w:numPr>
        <w:spacing w:after="80" w:before="40"/>
      </w:pPr>
      <w:r>
        <w:rPr>
          <w:rFonts w:ascii="Arial" w:cs="Arial" w:eastAsia="Arial" w:hAnsi="Arial"/>
          <w:sz w:val="24"/>
          <w:szCs w:val="24"/>
        </w:rPr>
        <w:t xml:space="preserve">Prioritise emergency fund maintenance equivalent to six months of income in liquid instruments, insulating against income shocks during inflationary periods.</w:t>
      </w:r>
    </w:p>
    <w:p>
      <w:pPr>
        <w:pStyle w:val="ListParagraph"/>
        <w:numPr>
          <w:ilvl w:val="0"/>
          <w:numId w:val="2"/>
        </w:numPr>
        <w:spacing w:after="80" w:before="40"/>
      </w:pPr>
      <w:r>
        <w:rPr>
          <w:rFonts w:ascii="Arial" w:cs="Arial" w:eastAsia="Arial" w:hAnsi="Arial"/>
          <w:sz w:val="24"/>
          <w:szCs w:val="24"/>
        </w:rPr>
        <w:t xml:space="preserve">Review and renegotiate loan terms during periods of rising interest rates; consider prepayment to reduce EMI burden.</w:t>
      </w:r>
    </w:p>
    <w:p>
      <w:pPr>
        <w:pStyle w:val="Heading2"/>
        <w:spacing w:after="120" w:before="280"/>
      </w:pPr>
      <w:r>
        <w:rPr>
          <w:rFonts w:ascii="Arial" w:cs="Arial" w:eastAsia="Arial" w:hAnsi="Arial"/>
          <w:b/>
          <w:bCs/>
          <w:color w:val="2E5090"/>
          <w:sz w:val="26"/>
          <w:szCs w:val="26"/>
        </w:rPr>
        <w:t xml:space="preserve">7.2  For Commercial Banks and Financial Institutions</w:t>
      </w:r>
    </w:p>
    <w:p>
      <w:pPr>
        <w:pStyle w:val="ListParagraph"/>
        <w:numPr>
          <w:ilvl w:val="0"/>
          <w:numId w:val="2"/>
        </w:numPr>
        <w:spacing w:after="80" w:before="40"/>
      </w:pPr>
      <w:r>
        <w:rPr>
          <w:rFonts w:ascii="Arial" w:cs="Arial" w:eastAsia="Arial" w:hAnsi="Arial"/>
          <w:sz w:val="24"/>
          <w:szCs w:val="24"/>
        </w:rPr>
        <w:t xml:space="preserve">Introduce inflation-linked deposit products (floating-rate FDs indexed to CPI) to retain middle-class depositors during high-inflation periods.</w:t>
      </w:r>
    </w:p>
    <w:p>
      <w:pPr>
        <w:pStyle w:val="ListParagraph"/>
        <w:numPr>
          <w:ilvl w:val="0"/>
          <w:numId w:val="2"/>
        </w:numPr>
        <w:spacing w:after="80" w:before="40"/>
      </w:pPr>
      <w:r>
        <w:rPr>
          <w:rFonts w:ascii="Arial" w:cs="Arial" w:eastAsia="Arial" w:hAnsi="Arial"/>
          <w:sz w:val="24"/>
          <w:szCs w:val="24"/>
        </w:rPr>
        <w:t xml:space="preserve">Expand access to inflation-protected investment products — TIPS-equivalent instruments and gold ETFs — through retail banking channels.</w:t>
      </w:r>
    </w:p>
    <w:p>
      <w:pPr>
        <w:pStyle w:val="ListParagraph"/>
        <w:numPr>
          <w:ilvl w:val="0"/>
          <w:numId w:val="2"/>
        </w:numPr>
        <w:spacing w:after="80" w:before="40"/>
      </w:pPr>
      <w:r>
        <w:rPr>
          <w:rFonts w:ascii="Arial" w:cs="Arial" w:eastAsia="Arial" w:hAnsi="Arial"/>
          <w:sz w:val="24"/>
          <w:szCs w:val="24"/>
        </w:rPr>
        <w:t xml:space="preserve">Strengthen EMI restructuring programmes for retail borrowers facing simultaneous inflationary and interest rate pressures.</w:t>
      </w:r>
    </w:p>
    <w:p>
      <w:pPr>
        <w:pStyle w:val="Heading2"/>
        <w:spacing w:after="120" w:before="280"/>
      </w:pPr>
      <w:r>
        <w:rPr>
          <w:rFonts w:ascii="Arial" w:cs="Arial" w:eastAsia="Arial" w:hAnsi="Arial"/>
          <w:b/>
          <w:bCs/>
          <w:color w:val="2E5090"/>
          <w:sz w:val="26"/>
          <w:szCs w:val="26"/>
        </w:rPr>
        <w:t xml:space="preserve">7.3  For Policymakers</w:t>
      </w:r>
    </w:p>
    <w:p>
      <w:pPr>
        <w:pStyle w:val="ListParagraph"/>
        <w:numPr>
          <w:ilvl w:val="0"/>
          <w:numId w:val="2"/>
        </w:numPr>
        <w:spacing w:after="80" w:before="40"/>
      </w:pPr>
      <w:r>
        <w:rPr>
          <w:rFonts w:ascii="Arial" w:cs="Arial" w:eastAsia="Arial" w:hAnsi="Arial"/>
          <w:sz w:val="24"/>
          <w:szCs w:val="24"/>
        </w:rPr>
        <w:t xml:space="preserve">The RBI should maintain its commitment to the flexible inflation targeting framework, keeping CPI within the 2–6% band to stabilise real returns on household savings.</w:t>
      </w:r>
    </w:p>
    <w:p>
      <w:pPr>
        <w:pStyle w:val="ListParagraph"/>
        <w:numPr>
          <w:ilvl w:val="0"/>
          <w:numId w:val="2"/>
        </w:numPr>
        <w:spacing w:after="80" w:before="40"/>
      </w:pPr>
      <w:r>
        <w:rPr>
          <w:rFonts w:ascii="Arial" w:cs="Arial" w:eastAsia="Arial" w:hAnsi="Arial"/>
          <w:sz w:val="24"/>
          <w:szCs w:val="24"/>
        </w:rPr>
        <w:t xml:space="preserve">The government should revise the Section 80C investment limit (currently ₹1.5 lakh, unchanged since 2014) upward in line with cumulative inflation to preserve its real value as a savings incentive.</w:t>
      </w:r>
    </w:p>
    <w:p>
      <w:pPr>
        <w:pStyle w:val="ListParagraph"/>
        <w:numPr>
          <w:ilvl w:val="0"/>
          <w:numId w:val="2"/>
        </w:numPr>
        <w:spacing w:after="80" w:before="40"/>
      </w:pPr>
      <w:r>
        <w:rPr>
          <w:rFonts w:ascii="Arial" w:cs="Arial" w:eastAsia="Arial" w:hAnsi="Arial"/>
          <w:sz w:val="24"/>
          <w:szCs w:val="24"/>
        </w:rPr>
        <w:t xml:space="preserve">Expand inflation-indexed National Savings Securities (IINSS) availability through post offices and commercial banks to provide risk-free real returns to middle-class savers.</w:t>
      </w:r>
    </w:p>
    <w:p>
      <w:r>
        <w:br/>
      </w:r>
    </w:p>
    <w:p>
      <w:pPr>
        <w:pStyle w:val="Heading1"/>
        <w:pBdr>
          <w:bottom w:val="single" w:color="1F3864" w:sz="6" w:space="4"/>
        </w:pBdr>
        <w:spacing w:after="160" w:before="400"/>
        <w:jc w:val="left"/>
      </w:pPr>
      <w:r>
        <w:rPr>
          <w:rFonts w:ascii="Arial" w:cs="Arial" w:eastAsia="Arial" w:hAnsi="Arial"/>
          <w:b/>
          <w:bCs/>
          <w:color w:val="1F3864"/>
          <w:sz w:val="30"/>
          <w:szCs w:val="30"/>
        </w:rPr>
        <w:t xml:space="preserve">8.  CONCLUSION</w:t>
      </w:r>
    </w:p>
    <w:p>
      <w:pPr>
        <w:spacing w:after="180" w:before="0" w:line="360" w:lineRule="auto"/>
        <w:ind w:firstLine="720"/>
        <w:jc w:val="both"/>
      </w:pPr>
      <w:r>
        <w:rPr>
          <w:rFonts w:ascii="Arial" w:cs="Arial" w:eastAsia="Arial" w:hAnsi="Arial"/>
          <w:sz w:val="24"/>
          <w:szCs w:val="24"/>
        </w:rPr>
        <w:t xml:space="preserve">This paper has examined the impact of inflation on middle-class household savings in India through a commerce lens, analysing consumer behaviour, financial product markets, banking dynamics, and retail business implications. The evidence firmly establishes that sustained inflation — particularly when it exceeds nominal returns on conventional savings instruments — significantly erodes the saving capacity of India's middle class.</w:t>
      </w:r>
    </w:p>
    <w:p>
      <w:pPr>
        <w:spacing w:after="180" w:before="0" w:line="360" w:lineRule="auto"/>
        <w:ind w:firstLine="720"/>
        <w:jc w:val="both"/>
      </w:pPr>
      <w:r>
        <w:rPr>
          <w:rFonts w:ascii="Arial" w:cs="Arial" w:eastAsia="Arial" w:hAnsi="Arial"/>
          <w:sz w:val="24"/>
          <w:szCs w:val="24"/>
        </w:rPr>
        <w:t xml:space="preserve">The commercial consequences are wide-ranging: banks face deposit pressure, insurance companies encounter lapse risks, and retailers observe changing consumption patterns. At the same time, the resilience of equity mutual fund inflows suggests that a financially literate sub-segment of the middle class is adapting by rebalancing towards inflation-beating assets.</w:t>
      </w:r>
    </w:p>
    <w:p>
      <w:pPr>
        <w:spacing w:after="180" w:before="0" w:line="360" w:lineRule="auto"/>
        <w:ind w:firstLine="720"/>
        <w:jc w:val="both"/>
      </w:pPr>
      <w:r>
        <w:rPr>
          <w:rFonts w:ascii="Arial" w:cs="Arial" w:eastAsia="Arial" w:hAnsi="Arial"/>
          <w:sz w:val="24"/>
          <w:szCs w:val="24"/>
        </w:rPr>
        <w:t xml:space="preserve">The policy and commercial responses must be equally multi-dimensional: stable monetary policy, innovative savings products, updated tax incentives, and sustained financial literacy investment. India's economic growth story depends, in no small measure, on the health of middle-class household finances — and that health, in turn, depends on keeping inflation in check.</w:t>
      </w:r>
    </w:p>
    <w:p>
      <w:r>
        <w:br/>
      </w:r>
    </w:p>
    <w:p>
      <w:pPr>
        <w:pStyle w:val="Heading1"/>
        <w:pBdr>
          <w:bottom w:val="single" w:color="1F3864" w:sz="6" w:space="4"/>
        </w:pBdr>
        <w:spacing w:after="160" w:before="400"/>
        <w:jc w:val="left"/>
      </w:pPr>
      <w:r>
        <w:rPr>
          <w:rFonts w:ascii="Arial" w:cs="Arial" w:eastAsia="Arial" w:hAnsi="Arial"/>
          <w:b/>
          <w:bCs/>
          <w:color w:val="1F3864"/>
          <w:sz w:val="30"/>
          <w:szCs w:val="30"/>
        </w:rPr>
        <w:t xml:space="preserve">REFERENCES</w:t>
      </w:r>
    </w:p>
    <w:p>
      <w:pPr>
        <w:spacing w:after="100" w:before="0" w:line="360" w:lineRule="auto"/>
        <w:ind/>
        <w:jc w:val="both"/>
      </w:pPr>
      <w:r>
        <w:rPr>
          <w:rFonts w:ascii="Arial" w:cs="Arial" w:eastAsia="Arial" w:hAnsi="Arial"/>
          <w:sz w:val="24"/>
          <w:szCs w:val="24"/>
        </w:rPr>
        <w:t xml:space="preserve">Athukorala, P., &amp; Sen, K. (2004). The determinants of private saving in India. World Development, 32(3), 491–503.</w:t>
      </w:r>
    </w:p>
    <w:p>
      <w:pPr>
        <w:spacing w:after="100" w:before="0" w:line="360" w:lineRule="auto"/>
        <w:ind/>
        <w:jc w:val="both"/>
      </w:pPr>
      <w:r>
        <w:rPr>
          <w:rFonts w:ascii="Arial" w:cs="Arial" w:eastAsia="Arial" w:hAnsi="Arial"/>
          <w:sz w:val="24"/>
          <w:szCs w:val="24"/>
        </w:rPr>
        <w:t xml:space="preserve">Basu, P., &amp; Sinha, A. (2019). Inflation and bank deposit mobilisation in India: An empirical analysis. Finance India, 33(2), 55–74.</w:t>
      </w:r>
    </w:p>
    <w:p>
      <w:pPr>
        <w:spacing w:after="100" w:before="0" w:line="360" w:lineRule="auto"/>
        <w:ind/>
        <w:jc w:val="both"/>
      </w:pPr>
      <w:r>
        <w:rPr>
          <w:rFonts w:ascii="Arial" w:cs="Arial" w:eastAsia="Arial" w:hAnsi="Arial"/>
          <w:sz w:val="24"/>
          <w:szCs w:val="24"/>
        </w:rPr>
        <w:t xml:space="preserve">Chowdhury, A. (2015). Household savings behaviour in India: Evidence from National Sample Survey data. Economic and Political Weekly, 50(18), 72–81.</w:t>
      </w:r>
    </w:p>
    <w:p>
      <w:pPr>
        <w:spacing w:after="100" w:before="0" w:line="360" w:lineRule="auto"/>
        <w:ind/>
        <w:jc w:val="both"/>
      </w:pPr>
      <w:r>
        <w:rPr>
          <w:rFonts w:ascii="Arial" w:cs="Arial" w:eastAsia="Arial" w:hAnsi="Arial"/>
          <w:sz w:val="24"/>
          <w:szCs w:val="24"/>
        </w:rPr>
        <w:t xml:space="preserve">Friedman, M. (1957). A Theory of the Consumption Function. Princeton University Press.</w:t>
      </w:r>
    </w:p>
    <w:p>
      <w:pPr>
        <w:spacing w:after="100" w:before="0" w:line="360" w:lineRule="auto"/>
        <w:ind/>
        <w:jc w:val="both"/>
      </w:pPr>
      <w:r>
        <w:rPr>
          <w:rFonts w:ascii="Arial" w:cs="Arial" w:eastAsia="Arial" w:hAnsi="Arial"/>
          <w:sz w:val="24"/>
          <w:szCs w:val="24"/>
        </w:rPr>
        <w:t xml:space="preserve">Insurance Regulatory and Development Authority of India (IRDAI). (2023). Annual Report 2022–23. IRDAI Publications.</w:t>
      </w:r>
    </w:p>
    <w:p>
      <w:pPr>
        <w:spacing w:after="100" w:before="0" w:line="360" w:lineRule="auto"/>
        <w:ind/>
        <w:jc w:val="both"/>
      </w:pPr>
      <w:r>
        <w:rPr>
          <w:rFonts w:ascii="Arial" w:cs="Arial" w:eastAsia="Arial" w:hAnsi="Arial"/>
          <w:sz w:val="24"/>
          <w:szCs w:val="24"/>
        </w:rPr>
        <w:t xml:space="preserve">Ministry of Statistics and Programme Implementation (MoSPI). (2023). Household Consumption Expenditure Survey 2022–23. Government of India.</w:t>
      </w:r>
    </w:p>
    <w:p>
      <w:pPr>
        <w:spacing w:after="100" w:before="0" w:line="360" w:lineRule="auto"/>
        <w:ind/>
        <w:jc w:val="both"/>
      </w:pPr>
      <w:r>
        <w:rPr>
          <w:rFonts w:ascii="Arial" w:cs="Arial" w:eastAsia="Arial" w:hAnsi="Arial"/>
          <w:sz w:val="24"/>
          <w:szCs w:val="24"/>
        </w:rPr>
        <w:t xml:space="preserve">Misra, S., &amp; Suresh, N. (2022). Post-pandemic inflation and household savings: Evidence from urban India. Indian Economic Review, 57(2), 115–138.</w:t>
      </w:r>
    </w:p>
    <w:p>
      <w:pPr>
        <w:spacing w:after="100" w:before="0" w:line="360" w:lineRule="auto"/>
        <w:ind/>
        <w:jc w:val="both"/>
      </w:pPr>
      <w:r>
        <w:rPr>
          <w:rFonts w:ascii="Arial" w:cs="Arial" w:eastAsia="Arial" w:hAnsi="Arial"/>
          <w:sz w:val="24"/>
          <w:szCs w:val="24"/>
        </w:rPr>
        <w:t xml:space="preserve">Modigliani, F., &amp; Brumberg, R. (1954). Utility analysis and the consumption function. In K. Kurihara (Ed.), Post-Keynesian Economics (pp. 388–436). Rutgers University Press.</w:t>
      </w:r>
    </w:p>
    <w:p>
      <w:pPr>
        <w:spacing w:after="100" w:before="0" w:line="360" w:lineRule="auto"/>
        <w:ind/>
        <w:jc w:val="both"/>
      </w:pPr>
      <w:r>
        <w:rPr>
          <w:rFonts w:ascii="Arial" w:cs="Arial" w:eastAsia="Arial" w:hAnsi="Arial"/>
          <w:sz w:val="24"/>
          <w:szCs w:val="24"/>
        </w:rPr>
        <w:t xml:space="preserve">Reserve Bank of India. (2024). Annual Report 2023–24. RBI Publications.</w:t>
      </w:r>
    </w:p>
    <w:p>
      <w:pPr>
        <w:spacing w:after="100" w:before="0" w:line="360" w:lineRule="auto"/>
        <w:ind/>
        <w:jc w:val="both"/>
      </w:pPr>
      <w:r>
        <w:rPr>
          <w:rFonts w:ascii="Arial" w:cs="Arial" w:eastAsia="Arial" w:hAnsi="Arial"/>
          <w:sz w:val="24"/>
          <w:szCs w:val="24"/>
        </w:rPr>
        <w:t xml:space="preserve">Reserve Bank of India. (2024). Handbook of Statistics on the Indian Economy 2023–24. RBI Publications.</w:t>
      </w:r>
    </w:p>
    <w:p>
      <w:pPr>
        <w:spacing w:after="100" w:before="0" w:line="360" w:lineRule="auto"/>
        <w:ind/>
        <w:jc w:val="both"/>
      </w:pPr>
      <w:r>
        <w:rPr>
          <w:rFonts w:ascii="Arial" w:cs="Arial" w:eastAsia="Arial" w:hAnsi="Arial"/>
          <w:sz w:val="24"/>
          <w:szCs w:val="24"/>
        </w:rPr>
        <w:t xml:space="preserve">Securities and Exchange Board of India (SEBI). (2023). Annual Report 2022–23. SEBI Publications.</w:t>
      </w:r>
    </w:p>
    <w:p>
      <w:pPr>
        <w:spacing w:after="100" w:before="0" w:line="360" w:lineRule="auto"/>
        <w:ind/>
        <w:jc w:val="both"/>
      </w:pPr>
      <w:r>
        <w:rPr>
          <w:rFonts w:ascii="Arial" w:cs="Arial" w:eastAsia="Arial" w:hAnsi="Arial"/>
          <w:sz w:val="24"/>
          <w:szCs w:val="24"/>
        </w:rPr>
        <w:t xml:space="preserve">World Bank. (2024). World Development Indicators: Inflation, consumer prices (annual %). World Bank Open Data. https://data.worldbank.org</w:t>
      </w:r>
    </w:p>
    <w:p>
      <w:pPr>
        <w:spacing w:after="400" w:before="0"/>
      </w:pPr>
      <w:r>
        <w:t xml:space="preserve"/>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Department of Commerce &amp; Economics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spacing w:after="80"/>
      <w:jc w:val="right"/>
    </w:pPr>
    <w:r>
      <w:rPr>
        <w:rFonts w:ascii="Arial" w:cs="Arial" w:eastAsia="Arial" w:hAnsi="Arial"/>
        <w:color w:val="888888"/>
        <w:sz w:val="18"/>
        <w:szCs w:val="18"/>
      </w:rPr>
      <w:t xml:space="preserve">Commerce Research Paper  |  </w:t>
    </w:r>
    <w:r>
      <w:rPr>
        <w:rFonts w:ascii="Arial" w:cs="Arial" w:eastAsia="Arial" w:hAnsi="Arial"/>
        <w:i/>
        <w:iCs/>
        <w:color w:val="1F3864"/>
        <w:sz w:val="18"/>
        <w:szCs w:val="18"/>
      </w:rPr>
      <w:t xml:space="preserve">Inflation &amp; Household Savings in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2026-06-12T04:44:45.267Z</dcterms:created>
  <dcterms:modified xsi:type="dcterms:W3CDTF">2026-06-12T04:44:45.267Z</dcterms:modified>
</cp:coreProperties>
</file>

<file path=docProps/custom.xml><?xml version="1.0" encoding="utf-8"?>
<Properties xmlns="http://schemas.openxmlformats.org/officeDocument/2006/custom-properties" xmlns:vt="http://schemas.openxmlformats.org/officeDocument/2006/docPropsVTypes"/>
</file>