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HealixCare HMS</w:t>
      </w:r>
    </w:p>
    <w:p>
      <w:pPr>
        <w:spacing w:after="100"/>
      </w:pPr>
      <w:r>
        <w:rPr>
          <w:color w:val="333333"/>
          <w:sz w:val="32"/>
          <w:szCs w:val="32"/>
        </w:rPr>
        <w:t xml:space="preserve">Product Vision Document</w:t>
      </w:r>
    </w:p>
    <w:p>
      <w:pPr>
        <w:spacing w:after="400"/>
      </w:pPr>
      <w:r>
        <w:rPr>
          <w:color w:val="808080"/>
          <w:sz w:val="20"/>
          <w:szCs w:val="20"/>
        </w:rPr>
        <w:t xml:space="preserve">Version 1.0  |  Confidential  |  Document Owner: Product Management</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Purpose of This Document</w:t>
      </w:r>
    </w:p>
    <w:p>
      <w:pPr>
        <w:spacing w:after="160"/>
      </w:pPr>
      <w:r>
        <w:t xml:space="preserve">This Product Vision Document defines the long-term direction, target outcomes, and guiding principles for HealixCare HMS (Hospital Management System). It is the reference point against which the Scope and Module Roadmap, the Feature Backlog, and all subsequent architecture and workflow documents are evaluated. Any feature, module, or design decision that conflicts with this vision should be challenged before being added to the backlog.</w:t>
      </w:r>
    </w:p>
    <w:p>
      <w:pPr>
        <w:pStyle w:val="Heading1"/>
      </w:pPr>
      <w:r>
        <w:t xml:space="preserve">2. Vision Statement</w:t>
      </w:r>
    </w:p>
    <w:p>
      <w:pPr>
        <w:pBdr>
          <w:left w:val="single" w:color="1F4E79" w:sz="24" w:space="8"/>
        </w:pBdr>
        <w:spacing w:after="300" w:before="100"/>
      </w:pPr>
      <w:r>
        <w:rPr>
          <w:i/>
          <w:iCs/>
          <w:sz w:val="24"/>
          <w:szCs w:val="24"/>
        </w:rPr>
        <w:t xml:space="preserve">To give hospitals, clinics, and diagnostic centers of any size a single, secure, and unified digital platform that connects every clinical, operational, and financial workflow — from patient registration to discharge billing — so that care teams spend less time on administration and more time on patients.</w:t>
      </w:r>
    </w:p>
    <w:p>
      <w:pPr>
        <w:pStyle w:val="Heading1"/>
      </w:pPr>
      <w:r>
        <w:t xml:space="preserve">3. Problem Statement</w:t>
      </w:r>
    </w:p>
    <w:p>
      <w:pPr>
        <w:spacing w:after="160"/>
      </w:pPr>
      <w:r>
        <w:t xml:space="preserve">Healthcare providers, particularly small and mid-sized hospitals, typically operate on a patchwork of disconnected systems: paper registers, spreadsheets, standalone billing software, and siloed lab/pharmacy tools. This fragmentation causes:</w:t>
      </w:r>
    </w:p>
    <w:p>
      <w:pPr>
        <w:pStyle w:val="ListParagraph"/>
        <w:numPr>
          <w:ilvl w:val="0"/>
          <w:numId w:val="2"/>
        </w:numPr>
        <w:spacing w:after="80"/>
      </w:pPr>
      <w:r>
        <w:t xml:space="preserve">Duplicate patient records and lost clinical history across departments (OPD, IPD, Lab, Pharmacy).</w:t>
      </w:r>
    </w:p>
    <w:p>
      <w:pPr>
        <w:pStyle w:val="ListParagraph"/>
        <w:numPr>
          <w:ilvl w:val="0"/>
          <w:numId w:val="2"/>
        </w:numPr>
        <w:spacing w:after="80"/>
      </w:pPr>
      <w:r>
        <w:t xml:space="preserve">Manual, error-prone billing and insurance claim reconciliation.</w:t>
      </w:r>
    </w:p>
    <w:p>
      <w:pPr>
        <w:pStyle w:val="ListParagraph"/>
        <w:numPr>
          <w:ilvl w:val="0"/>
          <w:numId w:val="2"/>
        </w:numPr>
        <w:spacing w:after="80"/>
      </w:pPr>
      <w:r>
        <w:t xml:space="preserve">No real-time visibility into bed occupancy, inventory levels, or department workload.</w:t>
      </w:r>
    </w:p>
    <w:p>
      <w:pPr>
        <w:pStyle w:val="ListParagraph"/>
        <w:numPr>
          <w:ilvl w:val="0"/>
          <w:numId w:val="2"/>
        </w:numPr>
        <w:spacing w:after="80"/>
      </w:pPr>
      <w:r>
        <w:t xml:space="preserve">Inconsistent audit trails, creating compliance and patient-safety risk.</w:t>
      </w:r>
    </w:p>
    <w:p>
      <w:pPr>
        <w:pStyle w:val="ListParagraph"/>
        <w:numPr>
          <w:ilvl w:val="0"/>
          <w:numId w:val="2"/>
        </w:numPr>
        <w:spacing w:after="80"/>
      </w:pPr>
      <w:r>
        <w:t xml:space="preserve">Slow onboarding of new staff due to non-standard, undocumented processes.</w:t>
      </w:r>
    </w:p>
    <w:p>
      <w:pPr>
        <w:pStyle w:val="Heading1"/>
      </w:pPr>
      <w:r>
        <w:t xml:space="preserve">4. Target Users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Stakeholder Group</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Primary Needs</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Success Looks Like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Hospital Administrators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Operational visibility, cost control, compliance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Real-time dashboards; audit-ready records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Doctors / Clinicians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Fast access to patient history, low documentation overhead</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Consultation in &lt;2 clicks to history; e-prescriptions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Nurses / Ward Staff</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Clear task lists, vitals capture, bed/ward management</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Single screen for ward rounds and medication administration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Lab &amp; Radiology Technicians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Order intake, sample tracking, result entry</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End-to-end order-to-result tracking with no manual handoff</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Pharmacists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Prescription verification, stock visibility, dispensing</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Closed-loop e-prescription to dispensing with stock deduction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Billing &amp; Finance Staff</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Accurate, fast billing across cash/insurance/TPA</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Single-click consolidated bill generation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Patients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Transparency, appointment access, digital records</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Self-service portal for appointments, reports, bills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IT / Compliance Teams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auditability, data integrity, uptime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Full audit logs; role-based access; compliant data handling</w:t>
            </w:r>
          </w:p>
        </w:tc>
      </w:tr>
    </w:tbl>
    <w:p>
      <w:pPr>
        <w:spacing w:after="200"/>
      </w:pPr>
    </w:p>
    <w:p>
      <w:pPr>
        <w:pStyle w:val="Heading1"/>
      </w:pPr>
      <w:r>
        <w:t xml:space="preserve">5. Product Goals (3-Year Horizon)</w:t>
      </w:r>
    </w:p>
    <w:p>
      <w:pPr>
        <w:pStyle w:val="ListParagraph"/>
        <w:numPr>
          <w:ilvl w:val="0"/>
          <w:numId w:val="2"/>
        </w:numPr>
        <w:spacing w:after="80"/>
      </w:pPr>
      <w:r>
        <w:t xml:space="preserve">Provide a single patient record spanning OPD, IPD, Emergency, Lab, Radiology, Pharmacy, and Billing.</w:t>
      </w:r>
    </w:p>
    <w:p>
      <w:pPr>
        <w:pStyle w:val="ListParagraph"/>
        <w:numPr>
          <w:ilvl w:val="0"/>
          <w:numId w:val="2"/>
        </w:numPr>
        <w:spacing w:after="80"/>
      </w:pPr>
      <w:r>
        <w:t xml:space="preserve">Reduce average patient registration-to-consultation time by digitizing intake and queueing.</w:t>
      </w:r>
    </w:p>
    <w:p>
      <w:pPr>
        <w:pStyle w:val="ListParagraph"/>
        <w:numPr>
          <w:ilvl w:val="0"/>
          <w:numId w:val="2"/>
        </w:numPr>
        <w:spacing w:after="80"/>
      </w:pPr>
      <w:r>
        <w:t xml:space="preserve">Achieve end-to-end digital billing with automated insurance/TPA workflows.</w:t>
      </w:r>
    </w:p>
    <w:p>
      <w:pPr>
        <w:pStyle w:val="ListParagraph"/>
        <w:numPr>
          <w:ilvl w:val="0"/>
          <w:numId w:val="2"/>
        </w:numPr>
        <w:spacing w:after="80"/>
      </w:pPr>
      <w:r>
        <w:t xml:space="preserve">Support both SaaS (multi-tenant, cloud-hosted) and on-premise deployment models for hospitals with data-residency constraints.</w:t>
      </w:r>
    </w:p>
    <w:p>
      <w:pPr>
        <w:pStyle w:val="ListParagraph"/>
        <w:numPr>
          <w:ilvl w:val="0"/>
          <w:numId w:val="2"/>
        </w:numPr>
        <w:spacing w:after="80"/>
      </w:pPr>
      <w:r>
        <w:t xml:space="preserve">Establish HealixCare as a modular platform — hospitals can adopt module-by-module rather than an all-or-nothing rollout.</w:t>
      </w:r>
    </w:p>
    <w:p>
      <w:pPr>
        <w:pStyle w:val="ListParagraph"/>
        <w:numPr>
          <w:ilvl w:val="0"/>
          <w:numId w:val="2"/>
        </w:numPr>
        <w:spacing w:after="80"/>
      </w:pPr>
      <w:r>
        <w:t xml:space="preserve">Build a foundation of auditability and role-based access suitable for regulatory and accreditation requirements.</w:t>
      </w:r>
    </w:p>
    <w:p>
      <w:pPr>
        <w:pStyle w:val="Heading1"/>
      </w:pPr>
      <w:r>
        <w:t xml:space="preserve">6. Guiding Principles</w:t>
      </w:r>
    </w:p>
    <w:p>
      <w:pPr>
        <w:pStyle w:val="Heading2"/>
      </w:pPr>
      <w:r>
        <w:t xml:space="preserve">6.1 Modular, Not Monolithic</w:t>
      </w:r>
    </w:p>
    <w:p>
      <w:pPr>
        <w:spacing w:after="160"/>
      </w:pPr>
      <w:r>
        <w:t xml:space="preserve">Every clinical or operational area (OPD, IPD, Lab, Pharmacy, Billing, Inventory) is a distinct module with a defined interface. Hospitals can enable only what they need.</w:t>
      </w:r>
    </w:p>
    <w:p>
      <w:pPr>
        <w:pStyle w:val="Heading2"/>
      </w:pPr>
      <w:r>
        <w:t xml:space="preserve">6.2 One Patient, One Record</w:t>
      </w:r>
    </w:p>
    <w:p>
      <w:pPr>
        <w:spacing w:after="160"/>
      </w:pPr>
      <w:r>
        <w:t xml:space="preserve">All modules read and write to a unified patient record. No module maintains a private, disconnected copy of patient data.</w:t>
      </w:r>
    </w:p>
    <w:p>
      <w:pPr>
        <w:pStyle w:val="Heading2"/>
      </w:pPr>
      <w:r>
        <w:t xml:space="preserve">6.3 Security and Auditability by Default</w:t>
      </w:r>
    </w:p>
    <w:p>
      <w:pPr>
        <w:spacing w:after="160"/>
      </w:pPr>
      <w:r>
        <w:t xml:space="preserve">Every clinically or financially significant action is attributable to a user, role, and timestamp. Access is governed by the Role Matrix and Permission Catalog, not ad hoc checks scattered through the code.</w:t>
      </w:r>
    </w:p>
    <w:p>
      <w:pPr>
        <w:pStyle w:val="Heading2"/>
      </w:pPr>
      <w:r>
        <w:t xml:space="preserve">6.4 Deployment-Agnostic Architecture</w:t>
      </w:r>
    </w:p>
    <w:p>
      <w:pPr>
        <w:spacing w:after="160"/>
      </w:pPr>
      <w:r>
        <w:t xml:space="preserve">The same application core must run as a multi-tenant SaaS offering and as a single-tenant on-premise installation, without forking the codebase.</w:t>
      </w:r>
    </w:p>
    <w:p>
      <w:pPr>
        <w:pStyle w:val="Heading2"/>
      </w:pPr>
      <w:r>
        <w:t xml:space="preserve">6.5 Workflow-First Design</w:t>
      </w:r>
    </w:p>
    <w:p>
      <w:pPr>
        <w:spacing w:after="160"/>
      </w:pPr>
      <w:r>
        <w:t xml:space="preserve">Screens and APIs are designed around how clinical and administrative staff actually work (see the Workflow documents), not around database tables.</w:t>
      </w:r>
    </w:p>
    <w:p>
      <w:pPr>
        <w:pStyle w:val="Heading1"/>
      </w:pPr>
      <w:r>
        <w:t xml:space="preserve">7. Non-Goals (Out of Scope for the Vision)</w:t>
      </w:r>
    </w:p>
    <w:p>
      <w:pPr>
        <w:pStyle w:val="ListParagraph"/>
        <w:numPr>
          <w:ilvl w:val="0"/>
          <w:numId w:val="2"/>
        </w:numPr>
        <w:spacing w:after="80"/>
      </w:pPr>
      <w:r>
        <w:t xml:space="preserve">HealixCare is not building its own medical device integrations (e.g., direct ICU monitor feeds) in the initial roadmap horizon.</w:t>
      </w:r>
    </w:p>
    <w:p>
      <w:pPr>
        <w:pStyle w:val="ListParagraph"/>
        <w:numPr>
          <w:ilvl w:val="0"/>
          <w:numId w:val="2"/>
        </w:numPr>
        <w:spacing w:after="80"/>
      </w:pPr>
      <w:r>
        <w:t xml:space="preserve">HealixCare is not a national health information exchange; cross-hospital data sharing is a future consideration, not a current goal.</w:t>
      </w:r>
    </w:p>
    <w:p>
      <w:pPr>
        <w:pStyle w:val="ListParagraph"/>
        <w:numPr>
          <w:ilvl w:val="0"/>
          <w:numId w:val="2"/>
        </w:numPr>
        <w:spacing w:after="80"/>
      </w:pPr>
      <w:r>
        <w:t xml:space="preserve">HealixCare does not aim to replace specialized enterprise ERP/HR systems; it integrates with them where needed instead.</w:t>
      </w:r>
    </w:p>
    <w:p>
      <w:pPr>
        <w:pStyle w:val="Heading1"/>
      </w:pPr>
      <w: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Metric</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Target Direction</w:t>
            </w:r>
          </w:p>
        </w:tc>
      </w:tr>
      <w:tr>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Time from patient registration to first consultation</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w:t>
            </w:r>
          </w:p>
        </w:tc>
      </w:tr>
      <w:tr>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Billing cycle time (consultation to bill settlement)</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w:t>
            </w:r>
          </w:p>
        </w:tc>
      </w:tr>
      <w:tr>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of clinical actions with complete audit trail</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Increase to 100%</w:t>
            </w:r>
          </w:p>
        </w:tc>
      </w:tr>
      <w:tr>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Module adoption rate per hospital (of enabled modules)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Increase</w:t>
            </w:r>
          </w:p>
        </w:tc>
      </w:tr>
      <w:tr>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System uptime (SaaS)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Increase toward high availability target</w:t>
            </w:r>
          </w:p>
        </w:tc>
      </w:tr>
      <w:tr>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Insurance/TPA claim rejection rate due to data errors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w:t>
            </w:r>
          </w:p>
        </w:tc>
      </w:tr>
    </w:tbl>
    <w:p>
      <w:pPr>
        <w:spacing w:after="200"/>
      </w:pPr>
    </w:p>
    <w:p>
      <w:pPr>
        <w:pStyle w:val="Heading1"/>
      </w:pPr>
      <w:r>
        <w:t xml:space="preserve">9. Relationship to Other Documents</w:t>
      </w:r>
    </w:p>
    <w:p>
      <w:pPr>
        <w:spacing w:after="160"/>
      </w:pPr>
      <w:r>
        <w:t xml:space="preserve">This Vision Document is the top of the documentation hierarchy. It informs:</w:t>
      </w:r>
    </w:p>
    <w:p>
      <w:pPr>
        <w:pStyle w:val="ListParagraph"/>
        <w:numPr>
          <w:ilvl w:val="0"/>
          <w:numId w:val="2"/>
        </w:numPr>
        <w:spacing w:after="80"/>
      </w:pPr>
      <w:r>
        <w:t xml:space="preserve">HMS Scope and Module Roadmap — translates vision into modules and phased delivery.</w:t>
      </w:r>
    </w:p>
    <w:p>
      <w:pPr>
        <w:pStyle w:val="ListParagraph"/>
        <w:numPr>
          <w:ilvl w:val="0"/>
          <w:numId w:val="2"/>
        </w:numPr>
        <w:spacing w:after="80"/>
      </w:pPr>
      <w:r>
        <w:t xml:space="preserve">Feature Backlog (MVP / Phase 2 / Enterprise) — translates roadmap into prioritized features.</w:t>
      </w:r>
    </w:p>
    <w:p>
      <w:pPr>
        <w:pStyle w:val="ListParagraph"/>
        <w:numPr>
          <w:ilvl w:val="0"/>
          <w:numId w:val="2"/>
        </w:numPr>
        <w:spacing w:after="80"/>
      </w:pPr>
      <w:r>
        <w:t xml:space="preserve">Role Matrix and Permission Catalog — translates stakeholder needs into access control design.</w:t>
      </w:r>
    </w:p>
    <w:p>
      <w:pPr>
        <w:pStyle w:val="ListParagraph"/>
        <w:numPr>
          <w:ilvl w:val="0"/>
          <w:numId w:val="2"/>
        </w:numPr>
        <w:spacing w:after="80"/>
      </w:pPr>
      <w:r>
        <w:t xml:space="preserve">Architecture documents — translate goals (modularity, deployment-agnostic, auditability) into technical structure.</w:t>
      </w:r>
    </w:p>
    <w:p>
      <w:pPr>
        <w:pStyle w:val="Heading1"/>
      </w:pPr>
      <w: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Field</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Document Owner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 Management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Status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Draft v1.0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Next Document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HMS Scope and Module Roadmap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HealixCare HMS — Product Vision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0"/>
    </w:pPr>
    <w:rPr>
      <w:rFonts w:ascii="Arial" w:cs="Arial" w:eastAsia="Arial" w:hAnsi="Arial"/>
      <w:b/>
      <w:bCs/>
      <w:color w:val="1F4E79"/>
      <w:sz w:val="56"/>
      <w:szCs w:val="56"/>
    </w:rPr>
  </w:style>
  <w:style w:type="paragraph" w:styleId="Heading1">
    <w:name w:val="Heading 1"/>
    <w:basedOn w:val="Normal"/>
    <w:next w:val="Normal"/>
    <w:qFormat/>
    <w:pPr>
      <w:pBdr>
        <w:bottom w:val="single" w:color="1F4E79" w:sz="4" w:space="2"/>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2026-06-24T05:26:32.000Z</dcterms:created>
  <dcterms:modified xsi:type="dcterms:W3CDTF">2026-06-24T05:26:32.000Z</dcterms:modified>
</cp:coreProperties>
</file>

<file path=docProps/custom.xml><?xml version="1.0" encoding="utf-8"?>
<Properties xmlns="http://schemas.openxmlformats.org/officeDocument/2006/custom-properties" xmlns:vt="http://schemas.openxmlformats.org/officeDocument/2006/docPropsVTypes"/>
</file>