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D9E75"/>
          <w:sz w:val="44"/>
          <w:szCs w:val="44"/>
        </w:rPr>
        <w:t xml:space="preserve">HealixCare HMS</w:t>
      </w:r>
    </w:p>
    <w:p>
      <w:pPr>
        <w:spacing w:before="200"/>
        <w:jc w:val="center"/>
      </w:pPr>
      <w:r>
        <w:rPr>
          <w:rFonts w:ascii="Arial" w:cs="Arial" w:eastAsia="Arial" w:hAnsi="Arial"/>
          <w:b/>
          <w:bCs/>
          <w:color w:val="1A3C5E"/>
          <w:sz w:val="56"/>
          <w:szCs w:val="56"/>
        </w:rPr>
        <w:t xml:space="preserve">Functional Requirements Document</w:t>
      </w:r>
    </w:p>
    <w:p>
      <w:pPr>
        <w:spacing w:after="600" w:before="200"/>
        <w:jc w:val="center"/>
      </w:pPr>
      <w:r>
        <w:rPr>
          <w:rFonts w:ascii="Arial" w:cs="Arial" w:eastAsia="Arial" w:hAnsi="Arial"/>
          <w:b/>
          <w:bCs/>
          <w:color w:val="2F6B5E"/>
          <w:sz w:val="30"/>
          <w:szCs w:val="30"/>
        </w:rPr>
        <w:t xml:space="preserve">EMR / Clinical Module — Part 2: Clinical Configuration &amp;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Attribute</w:t>
            </w:r>
          </w:p>
        </w:tc>
        <w:tc>
          <w:tcPr>
            <w:tcW w:type="dxa" w:w="6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Value</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Document Name</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HMS — EMR Clinical Configuration &amp; Workflow FRD</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Module</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EMR / Clinical — Part 2 of 2 (Templates, Consents, Care Plans, Referrals, Discharge Summaries, Photos/Voice, Coding Audit, Clinical Queue &amp; Departments)</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Category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Functional Requirements Document</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Feature ID Prefix</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Created By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Version</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1.0</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Last Updated By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Last Updated Date</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14 July 2026</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Modification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500"/>
        <w:gridCol w:w="4860"/>
      </w:tblGrid>
      <w:tr>
        <w:trPr>
          <w:tblHeader/>
        </w:trPr>
        <w:tc>
          <w:tcPr>
            <w:tcW w:type="dxa" w:w="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Version</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Author</w:t>
            </w:r>
          </w:p>
        </w:tc>
        <w:tc>
          <w:tcPr>
            <w:tcW w:type="dxa" w:w="1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Date</w:t>
            </w:r>
          </w:p>
        </w:tc>
        <w:tc>
          <w:tcPr>
            <w:tcW w:type="dxa" w:w="4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Summary of Changes</w:t>
            </w:r>
          </w:p>
        </w:tc>
      </w:tr>
      <w:tr>
        <w:tc>
          <w:tcPr>
            <w:tcW w:type="dxa" w:w="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1.0</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14 July 2026</w:t>
            </w:r>
          </w:p>
        </w:tc>
        <w:tc>
          <w:tcPr>
            <w:tcW w:type="dxa" w:w="4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Initial release, Part 2 of 2, to the HealixCare senior-BA FRD standard. Specifies HC-EMR-047 to HC-EMR-078: EMR templates, consents, care plans and chronic programmes, referrals and second opinions, discharge summaries, clinical photos and voice, coding audit and service packages, and clinical queue and departments. Continues the numbering of Part 1 (Core Clinical, HC-EMR-001 to HC-EMR-046) so no feature is duplicated across the two documents. The module's biggest documentation risk — three-and-a-half competing template systems — is resolved by fully specifying the canonical Templates + Resolve Template system and listing the legacy Clinical Templates, Specialty Templates, and Speciality Forms systems as a consolidation appendix rather than as equally-weighted features. A fourth clinical-queue implementation is documented as it exists, with a consolidation recommendation.</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1. Introduction</w:t>
      </w:r>
    </w:p>
    <w:p>
      <w:pPr>
        <w:pStyle w:val="Heading2"/>
        <w:spacing w:after="160" w:before="300"/>
      </w:pPr>
      <w:r>
        <w:rPr>
          <w:rFonts w:ascii="Arial" w:cs="Arial" w:eastAsia="Arial" w:hAnsi="Arial"/>
          <w:b/>
          <w:bCs/>
          <w:color w:val="1D9E75"/>
          <w:sz w:val="26"/>
          <w:szCs w:val="26"/>
        </w:rPr>
        <w:t xml:space="preserve">1.1 Purpose</w:t>
      </w:r>
    </w:p>
    <w:p>
      <w:pPr>
        <w:spacing w:after="100"/>
      </w:pPr>
      <w:r>
        <w:rPr>
          <w:rFonts w:ascii="Arial" w:cs="Arial" w:eastAsia="Arial" w:hAnsi="Arial"/>
          <w:sz w:val="20"/>
          <w:szCs w:val="20"/>
        </w:rPr>
        <w:t xml:space="preserve">This document specifies the functional requirements of the clinical configuration and workflow half of the EMR / Clinical module of HealixCare HMS: note templates and their resolution, patient consents, care plans and chronic-disease programmes, referrals and second opinions, discharge summaries, clinical photographs and voice dictation, coding-quality auditing and service packages, and the clinical queue and department view as they appear within EMR. It is written for business stakeholders, developers, and QA engineers from the user's perspective.</w:t>
      </w:r>
    </w:p>
    <w:p>
      <w:pPr>
        <w:pStyle w:val="Heading2"/>
        <w:spacing w:after="160" w:before="300"/>
      </w:pPr>
      <w:r>
        <w:rPr>
          <w:rFonts w:ascii="Arial" w:cs="Arial" w:eastAsia="Arial" w:hAnsi="Arial"/>
          <w:b/>
          <w:bCs/>
          <w:color w:val="1D9E75"/>
          <w:sz w:val="26"/>
          <w:szCs w:val="26"/>
        </w:rPr>
        <w:t xml:space="preserve">1.2 Relationship to Part 1 (Core Clinical) and Numbering</w:t>
      </w:r>
    </w:p>
    <w:p>
      <w:pPr>
        <w:spacing w:after="100"/>
      </w:pPr>
      <w:r>
        <w:rPr>
          <w:rFonts w:ascii="Arial" w:cs="Arial" w:eastAsia="Arial" w:hAnsi="Arial"/>
          <w:sz w:val="20"/>
          <w:szCs w:val="20"/>
        </w:rPr>
        <w:t xml:space="preserve">This is Part 2 of the two-document EMR / Clinical FRD; Part 1 (Core Clinical, HC-EMR-001 to HC-EMR-046) covers consultations, vitals, prescriptions, diagnoses, allergies, CPOE, clinical decision support, AI-assisted documentation, clinical scores, and patient history views. Feature numbering is continuous across both documents so cross-references resolve unambiguously and no feature is specified twice.</w:t>
      </w:r>
    </w:p>
    <w:p>
      <w:pPr>
        <w:pStyle w:val="Heading2"/>
        <w:spacing w:after="160" w:before="300"/>
      </w:pPr>
      <w:r>
        <w:rPr>
          <w:rFonts w:ascii="Arial" w:cs="Arial" w:eastAsia="Arial" w:hAnsi="Arial"/>
          <w:b/>
          <w:bCs/>
          <w:color w:val="1D9E75"/>
          <w:sz w:val="26"/>
          <w:szCs w:val="26"/>
        </w:rPr>
        <w:t xml:space="preserve">1.3 Scope</w:t>
      </w:r>
    </w:p>
    <w:p>
      <w:pPr>
        <w:spacing w:after="100"/>
      </w:pPr>
      <w:r>
        <w:rPr>
          <w:rFonts w:ascii="Arial" w:cs="Arial" w:eastAsia="Arial" w:hAnsi="Arial"/>
          <w:b/>
          <w:bCs/>
          <w:sz w:val="20"/>
          <w:szCs w:val="20"/>
        </w:rPr>
        <w:t xml:space="preserve">In scope: </w:t>
      </w:r>
      <w:r>
        <w:rPr>
          <w:rFonts w:ascii="Arial" w:cs="Arial" w:eastAsia="Arial" w:hAnsi="Arial"/>
          <w:sz w:val="20"/>
          <w:szCs w:val="20"/>
        </w:rPr>
        <w:t xml:space="preserve">the eight functional areas listed above, as inventoried from the EMR module's code. A separate template-builder screen (EMRTemplateBuilder.tsx) is the primary interface for Section 2.1.</w:t>
      </w:r>
    </w:p>
    <w:p>
      <w:pPr>
        <w:spacing w:after="100"/>
      </w:pPr>
      <w:r>
        <w:rPr>
          <w:rFonts w:ascii="Arial" w:cs="Arial" w:eastAsia="Arial" w:hAnsi="Arial"/>
          <w:b/>
          <w:bCs/>
          <w:sz w:val="20"/>
          <w:szCs w:val="20"/>
        </w:rPr>
        <w:t xml:space="preserve">Out of scope — cross-referenced only: </w:t>
      </w:r>
      <w:r>
        <w:rPr>
          <w:rFonts w:ascii="Arial" w:cs="Arial" w:eastAsia="Arial" w:hAnsi="Arial"/>
          <w:sz w:val="20"/>
          <w:szCs w:val="20"/>
        </w:rPr>
        <w:t xml:space="preserve">Part 1 of this FRD (consultations, vitals, prescriptions, diagnoses, allergies, CPOE, CDS, AI, scores, patient history); the Queue &amp; Check-in module and the Appointments module's queue functions, which share underlying data with the clinical-queue view in Section 2.8; department creation and structure (User Management &amp; Authentication FRD); the Service Master and ICD master (Admin Settings and Part 1 respectively); and hospital branding used on generated letters and summaries (Admin Settings FRD).</w:t>
      </w:r>
    </w:p>
    <w:p>
      <w:pPr>
        <w:pStyle w:val="Heading2"/>
        <w:spacing w:after="160" w:before="300"/>
      </w:pPr>
      <w:r>
        <w:rPr>
          <w:rFonts w:ascii="Arial" w:cs="Arial" w:eastAsia="Arial" w:hAnsi="Arial"/>
          <w:b/>
          <w:bCs/>
          <w:color w:val="1D9E75"/>
          <w:sz w:val="26"/>
          <w:szCs w:val="26"/>
        </w:rPr>
        <w:t xml:space="preserve">1.4 The Template-System Consolidation Decision</w:t>
      </w:r>
    </w:p>
    <w:p>
      <w:pPr>
        <w:spacing w:after="100"/>
      </w:pPr>
      <w:r>
        <w:rPr>
          <w:rFonts w:ascii="Arial" w:cs="Arial" w:eastAsia="Arial" w:hAnsi="Arial"/>
          <w:sz w:val="20"/>
          <w:szCs w:val="20"/>
        </w:rPr>
        <w:t xml:space="preserve">The code inventory identified three-and-a-half overlapping template systems: the canonical Templates system with context-based resolution (specified fully in Section 2.1 below), a legacy Clinical Templates list (admin-only creation), a third Specialty Templates system with ICD-based suggestion, and a Speciality Forms dynamic-form system (note the British/American spelling split between these last two, itself evidence of parallel, uncoordinated development). Writing all four up as equally-weighted features would enshrine the confusion into the documentation. This document specifies the canonical system in full (HC-EMR-047 to HC-EMR-051) and lists the other three as a legacy inventory in Appendix 6.1, for product and engineering to consolidate or formally retire.</w:t>
      </w:r>
    </w:p>
    <w:p>
      <w:pPr>
        <w:pStyle w:val="Heading2"/>
        <w:spacing w:after="160" w:before="300"/>
      </w:pPr>
      <w:r>
        <w:rPr>
          <w:rFonts w:ascii="Arial" w:cs="Arial" w:eastAsia="Arial" w:hAnsi="Arial"/>
          <w:b/>
          <w:bCs/>
          <w:color w:val="1D9E75"/>
          <w:sz w:val="26"/>
          <w:szCs w:val="26"/>
        </w:rPr>
        <w:t xml:space="preserve">1.5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Document ID</w:t>
            </w:r>
          </w:p>
        </w:tc>
        <w:tc>
          <w:tcPr>
            <w:tcW w:type="dxa" w:w="57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Document Name</w:t>
            </w:r>
          </w:p>
        </w:tc>
        <w:tc>
          <w:tcPr>
            <w:tcW w:type="dxa" w:w="2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Reference No</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REF-001</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EMR module code inventory (123 endpoints, 18 sections)</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HC-EMR-001 to HC-EMR-083 (inventory numbering)</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REF-002</w:t>
            </w:r>
          </w:p>
        </w:tc>
        <w:tc>
          <w:tcPr>
            <w:tcW w:type="dxa" w:w="5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HealixCare FRD — EMR Core Clinical v1.0 (Part 1)</w:t>
            </w:r>
          </w:p>
        </w:tc>
        <w:tc>
          <w:tcPr>
            <w:tcW w:type="dxa" w:w="2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HC-EMR-001 to HC-EMR-046</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REF-003</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FRD — Admin Settings v1.0 (Service Master, EMR Template Builder, branding)</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HC-ADS-005 / HC-ADS-008 / HC-ADS-010</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REF-004</w:t>
            </w:r>
          </w:p>
        </w:tc>
        <w:tc>
          <w:tcPr>
            <w:tcW w:type="dxa" w:w="5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HealixCare FRD — User Management &amp; Authentication v3.0 (departments)</w:t>
            </w:r>
          </w:p>
        </w:tc>
        <w:tc>
          <w:tcPr>
            <w:tcW w:type="dxa" w:w="2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HC-USR-022 to HC-USR-024</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REF-005</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FRD — Queue &amp; Check-in Module v1.0</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HC-QUE-001 to HC-QUE-017</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REF-006</w:t>
            </w:r>
          </w:p>
        </w:tc>
        <w:tc>
          <w:tcPr>
            <w:tcW w:type="dxa" w:w="5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HealixCare FRD — Appointments Module v1.0</w:t>
            </w:r>
          </w:p>
        </w:tc>
        <w:tc>
          <w:tcPr>
            <w:tcW w:type="dxa" w:w="2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HC-APT-001 to HC-APT-044</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REF-007</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FRD — Patient Module v1.0</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HC-PAT-001 to HC-PAT-025</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2. Feature Specifications</w:t>
      </w:r>
    </w:p>
    <w:p>
      <w:pPr>
        <w:pStyle w:val="Heading2"/>
        <w:spacing w:after="160" w:before="300"/>
      </w:pPr>
      <w:r>
        <w:rPr>
          <w:rFonts w:ascii="Arial" w:cs="Arial" w:eastAsia="Arial" w:hAnsi="Arial"/>
          <w:b/>
          <w:bCs/>
          <w:color w:val="1D9E75"/>
          <w:sz w:val="26"/>
          <w:szCs w:val="26"/>
        </w:rPr>
        <w:t xml:space="preserve">2.0 Feature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160"/>
      </w:tblGrid>
      <w:tr>
        <w:trPr>
          <w:tblHeader/>
        </w:trPr>
        <w:tc>
          <w:tcPr>
            <w:tcW w:type="dxa" w:w="1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Feature ID</w:t>
            </w:r>
          </w:p>
        </w:tc>
        <w:tc>
          <w:tcPr>
            <w:tcW w:type="dxa" w:w="4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Feature Title</w:t>
            </w:r>
          </w:p>
        </w:tc>
        <w:tc>
          <w:tcPr>
            <w:tcW w:type="dxa" w:w="31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Section</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HC-EMR-047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Manage EMR Templates</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EMR Templates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HC-EMR-048</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Clone Template</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EMR Templates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HC-EMR-049</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Templates by Specialty</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EMR Templates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HC-EMR-050</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Resolve Template</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EMR Templates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HC-EMR-051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Set Department Default Template</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EMR Templates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HC-EMR-052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Create Consent</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Consents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HC-EMR-053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Consent List</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Consents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HC-EMR-054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Sign Consent</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Consents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HC-EMR-055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 List, and Update Care Plan</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Care Plans and Chronic Programmes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HC-EMR-056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Chronic Programme Catalogue</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Care Plans and Chronic Programmes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HC-EMR-057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Enrol Patient in Chronic Programme</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Care Plans and Chronic Programmes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HC-EMR-058</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Update Enrolment</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Care Plans and Chronic Programmes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HC-EMR-059</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Due Reviews Worklist</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Care Plans and Chronic Programmes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HC-EMR-060</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Create Referral</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Referrals and Second Opinions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HC-EMR-061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Referral Inbox</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Referrals and Second Opinions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HC-EMR-062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Update Referral</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Referrals and Second Opinions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HC-EMR-063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Generate Referral Letter</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Referrals and Second Opinions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HC-EMR-064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Request Second Opinion</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Referrals and Second Opinions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HC-EMR-065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My Requests / For Review Worklists</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Referrals and Second Opinions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HC-EMR-066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Respond to Second Opinion</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Referrals and Second Opinions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HC-EMR-067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Discharge Summary List</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Discharge Summaries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HC-EMR-068</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Update / Finalise Discharge Summary</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Discharge Summaries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HC-EMR-069</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Upload Clinical Photo</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 Photos and Voice</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HC-EMR-070</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Photo Gallery</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Clinical Photos and Voice</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HC-EMR-071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Delete Clinical Photo</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 Photos and Voice</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HC-EMR-072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Voice Transcript Capture</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Clinical Photos and Voice</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HC-EMR-073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Coding Audit Summary and List</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Coding Audit and Service Packages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HC-EMR-074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Generate Coding Audit</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Coding Audit and Service Packages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HC-EMR-075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Service Packages</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Coding Audit and Service Packages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HC-EMR-076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Doctor's Clinical Queue (EMR View)</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Clinical Queue and Departments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HC-EMR-077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EMR Department Default-Template Management</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 Queue and Departments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HC-EMR-078</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EMR Stats Overview</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Clinical Queue and Departments</w:t>
            </w:r>
          </w:p>
        </w:tc>
      </w:tr>
    </w:tbl>
    <w:p>
      <w:r>
        <w:br w:type="page"/>
      </w:r>
    </w:p>
    <w:p>
      <w:pPr>
        <w:pStyle w:val="Heading2"/>
        <w:spacing w:after="160" w:before="300"/>
      </w:pPr>
      <w:r>
        <w:rPr>
          <w:rFonts w:ascii="Arial" w:cs="Arial" w:eastAsia="Arial" w:hAnsi="Arial"/>
          <w:b/>
          <w:bCs/>
          <w:color w:val="1D9E75"/>
          <w:sz w:val="26"/>
          <w:szCs w:val="26"/>
        </w:rPr>
        <w:t xml:space="preserve">2.1 EMR Templates</w:t>
      </w:r>
    </w:p>
    <w:p>
      <w:pPr>
        <w:spacing w:after="100"/>
      </w:pPr>
      <w:r>
        <w:rPr>
          <w:rFonts w:ascii="Arial" w:cs="Arial" w:eastAsia="Arial" w:hAnsi="Arial"/>
          <w:sz w:val="20"/>
          <w:szCs w:val="20"/>
        </w:rPr>
        <w:t xml:space="preserve">The canonical template system: CRUD management, cloning, specialty grouping, context-based resolution, and department defaults. Important consolidation note: the current build contains three-and-a-half overlapping template systems (this one, a legacy 'clinical templates' list, a third 'specialty templates' system with ICD-based suggestion, and a 'speciality forms' dynamic-form system — note the British/American spelling split between the latter two). Documenting all four as equally-weighted features would enshrine confusion neither developers nor reviewers need. This document specifies the canonical system (Templates + Resolve Template) fully below, and lists the other three as legacy/parallel systems in Appendix 6.1 for product to consolidate or formally retire.</w:t>
      </w:r>
    </w:p>
    <w:p>
      <w:pPr>
        <w:pStyle w:val="Heading3"/>
        <w:spacing w:after="120" w:before="220"/>
      </w:pPr>
      <w:r>
        <w:rPr>
          <w:rFonts w:ascii="Arial" w:cs="Arial" w:eastAsia="Arial" w:hAnsi="Arial"/>
          <w:b/>
          <w:bCs/>
          <w:color w:val="2F6B5E"/>
          <w:sz w:val="22"/>
          <w:szCs w:val="22"/>
        </w:rPr>
        <w:t xml:space="preserve">HC-EMR-047 | Manage EMR Templates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or doctor, I want to create, view, update, and delete EMR note templates so that consultations start from a structured, specialty-appropriate layout.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EMR Template management: a list of templates, and functions to create, view, update, and delete a template.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template captures a name, specialty, note-type applicability, and a structured set of sections/fields that pre-populate the consultation note.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Deleting a template does not affect consultations already created from it.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Creating and deleting templates requires an elevated permission ('emr → create'/'emr → edit' as appropriate); admins may manage any template.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Template list</w:t>
      </w:r>
    </w:p>
    <w:p>
      <w:pPr>
        <w:spacing w:after="100"/>
      </w:pPr>
      <w:r>
        <w:rPr>
          <w:rFonts w:ascii="Arial" w:cs="Arial" w:eastAsia="Arial" w:hAnsi="Arial"/>
          <w:sz w:val="20"/>
          <w:szCs w:val="20"/>
        </w:rPr>
        <w:t xml:space="preserve">Screen 2: Create/Edit template form</w:t>
      </w:r>
    </w:p>
    <w:p>
      <w:pPr>
        <w:spacing w:after="100"/>
      </w:pPr>
      <w:r>
        <w:rPr>
          <w:rFonts w:ascii="Arial" w:cs="Arial" w:eastAsia="Arial" w:hAnsi="Arial"/>
          <w:sz w:val="20"/>
          <w:szCs w:val="20"/>
        </w:rPr>
        <w:t xml:space="preserve">Screen 3: Delete confirmation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Template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template_id, name, specialty, note_type, structure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emr_templates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 (structure as JSON)</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Active</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is_active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emr_templates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Specialty</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Note Type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(SOAP / Progress / Discharge)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SOAP</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Sections / Fields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Structured builder</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 (≥1 section)</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 / Specialty</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Structure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contain at least one section</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"Add at least one section to the template."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management from "EMR &gt;&gt; Templates &gt;&gt; Manage Templates".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admin creates a Cardiology SOAP template with an Echo Findings section; doctors in Cardiology see it offered at consultation start.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"Required."</w:t>
      </w:r>
    </w:p>
    <w:p>
      <w:pPr>
        <w:spacing w:after="100"/>
      </w:pPr>
      <w:r>
        <w:rPr>
          <w:rFonts w:ascii="Arial" w:cs="Arial" w:eastAsia="Arial" w:hAnsi="Arial"/>
          <w:sz w:val="20"/>
          <w:szCs w:val="20"/>
        </w:rPr>
        <w:t xml:space="preserve">— "Add at least one section to the template."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"Template saved successfully."</w:t>
      </w:r>
    </w:p>
    <w:p>
      <w:pPr>
        <w:spacing w:after="100"/>
      </w:pPr>
      <w:r>
        <w:rPr>
          <w:rFonts w:ascii="Arial" w:cs="Arial" w:eastAsia="Arial" w:hAnsi="Arial"/>
          <w:sz w:val="20"/>
          <w:szCs w:val="20"/>
        </w:rPr>
        <w:t xml:space="preserve">— "Template deleted."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structure builder uses the same field-type palette (text, dropdown, checkbox, numeric) referenced in Admin Settings' EMR Template Builder (HC-ADS-008).</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HC-EMR-048 (clone), HC-EMR-049 (by specialty), HC-EMR-050 (resolve), HC-EMR-051 (department default). Builder UI cross-referenced to Admin Settings HC-ADS-008.</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Admins (full management); doctors (view and use).</w:t>
      </w:r>
    </w:p>
    <w:p>
      <w:pPr>
        <w:pStyle w:val="Heading3"/>
        <w:spacing w:after="120" w:before="220"/>
      </w:pPr>
      <w:r>
        <w:rPr>
          <w:rFonts w:ascii="Arial" w:cs="Arial" w:eastAsia="Arial" w:hAnsi="Arial"/>
          <w:b/>
          <w:bCs/>
          <w:color w:val="2F6B5E"/>
          <w:sz w:val="22"/>
          <w:szCs w:val="22"/>
        </w:rPr>
        <w:t xml:space="preserve">HC-EMR-048 | Clone Template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clone an existing template so that I can create a variant without building it from scratch.</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Clone action on a template that creates a new template with the same structure, name suffixed '(Copy)', for further editing.</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clone is independent of the source; editing one does not affect the other.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Cloning is recorded with the acting user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Clone template confirmation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Cloned Template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new template_id, copied structure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emr_templates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Templates &gt;&gt; [template] &gt;&gt; Clone".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admin clones the General Medicine SOAP template to create a Geriatrics variant with extra fall-risk fields.</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"Template cloned. Edit the copy to customise it."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clone opens directly in the editor for immediate customisation.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HC-EMR-047.</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Admins.</w:t>
      </w:r>
    </w:p>
    <w:p>
      <w:pPr>
        <w:pStyle w:val="Heading3"/>
        <w:spacing w:after="120" w:before="220"/>
      </w:pPr>
      <w:r>
        <w:rPr>
          <w:rFonts w:ascii="Arial" w:cs="Arial" w:eastAsia="Arial" w:hAnsi="Arial"/>
          <w:b/>
          <w:bCs/>
          <w:color w:val="2F6B5E"/>
          <w:sz w:val="22"/>
          <w:szCs w:val="22"/>
        </w:rPr>
        <w:t xml:space="preserve">HC-EMR-049 | Templates by Specialty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see the templates available for my specialty so that I can pick the right one quickly.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specialty-filtered template list showing only templates applicable to the selected (or the doctor's own) specialty.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list is read-only and feeds template selection at consultation start.</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Templates filtered by specialty</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Specialty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Doctor's own specialty</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list from "EMR &gt;&gt; Templates &gt;&gt; By Specialty".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Cardiology doctor sees only Cardiology-applicable templates when starting a note.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exist for the specialty: "No templates available for this specialty."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Templates group under their note-type applicability.</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HC-EMR-047.</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admins with 'emr → view'.</w:t>
      </w:r>
    </w:p>
    <w:p>
      <w:pPr>
        <w:pStyle w:val="Heading3"/>
        <w:spacing w:after="120" w:before="220"/>
      </w:pPr>
      <w:r>
        <w:rPr>
          <w:rFonts w:ascii="Arial" w:cs="Arial" w:eastAsia="Arial" w:hAnsi="Arial"/>
          <w:b/>
          <w:bCs/>
          <w:color w:val="2F6B5E"/>
          <w:sz w:val="22"/>
          <w:szCs w:val="22"/>
        </w:rPr>
        <w:t xml:space="preserve">HC-EMR-050 | Resolve Template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the system, I want to determine which single template applies to a given consultation context so that the doctor is offered exactly one sensible default rather than having to choose among overlapping options.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resolves the applicable template for a consultation using, in order of precedence: (1) the department's configured default template (HC-EMR-051), (2) the doctor's specialty-matched template (HC-EMR-049), (3) a general fallback template.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Resolution runs automatically when a consultation is started (HC-EMR-001, Part 1) and pre-selects the resolved template; the doctor may override the selection.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If no template resolves at any precedence level, the consultation proceeds with a blank structure rather than blocking.</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Auto-selected template at consultation start (overridable)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A Cardiology doctor in the Cardiology department starts a consultation; the department default template is pre-selected automatically.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locum with no department default and no specialty match still gets a general fallback template rather than an error.</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resolved template's name is shown with a 'Change template' option.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HC-EMR-047/049/051. Consumed by HC-EMR-001 (Part 1).</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NA (system rule); doctors may override the resolved selection.</w:t>
      </w:r>
    </w:p>
    <w:p>
      <w:pPr>
        <w:pStyle w:val="Heading3"/>
        <w:spacing w:after="120" w:before="220"/>
      </w:pPr>
      <w:r>
        <w:rPr>
          <w:rFonts w:ascii="Arial" w:cs="Arial" w:eastAsia="Arial" w:hAnsi="Arial"/>
          <w:b/>
          <w:bCs/>
          <w:color w:val="2F6B5E"/>
          <w:sz w:val="22"/>
          <w:szCs w:val="22"/>
        </w:rPr>
        <w:t xml:space="preserve">HC-EMR-051 | Set Department Default Template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set a department's default template so that every consultation in that department starts from the same standard layout unless overridden.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Set Default Template action per department, admin only, selecting from the canonical template list.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department default is the highest-precedence input to template resolution (HC-EMR-050).</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Changing the default takes effect for consultations started after the change; consultations already in progress are unaffected.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Department default template selector</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Department Default</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department_id, default_template_id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departments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Default Template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(canonical templates)</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Templates &gt;&gt; Department Defaults &gt;&gt; [department]".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admin sets the ICU department's default to the ICU-specific template; all new ICU consultations pre-select it.</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"Department default template set."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current default is shown with a Change action.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HC-EMR-047/050. Departments owned by User Management &amp; Authentication FRD (HC-USR-022 to HC-USR-024).</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r>
        <w:br w:type="page"/>
      </w:r>
    </w:p>
    <w:p>
      <w:pPr>
        <w:pStyle w:val="Heading2"/>
        <w:spacing w:after="160" w:before="300"/>
      </w:pPr>
      <w:r>
        <w:rPr>
          <w:rFonts w:ascii="Arial" w:cs="Arial" w:eastAsia="Arial" w:hAnsi="Arial"/>
          <w:b/>
          <w:bCs/>
          <w:color w:val="1D9E75"/>
          <w:sz w:val="26"/>
          <w:szCs w:val="26"/>
        </w:rPr>
        <w:t xml:space="preserve">2.2 Consents</w:t>
      </w:r>
    </w:p>
    <w:p>
      <w:pPr>
        <w:spacing w:after="100"/>
      </w:pPr>
      <w:r>
        <w:rPr>
          <w:rFonts w:ascii="Arial" w:cs="Arial" w:eastAsia="Arial" w:hAnsi="Arial"/>
          <w:sz w:val="20"/>
          <w:szCs w:val="20"/>
        </w:rPr>
        <w:t xml:space="preserve">Recording, listing, and capturing signatures for patient consents (procedural, treatment, data-sharing, and similar).</w:t>
      </w:r>
    </w:p>
    <w:p>
      <w:pPr>
        <w:pStyle w:val="Heading3"/>
        <w:spacing w:after="120" w:before="220"/>
      </w:pPr>
      <w:r>
        <w:rPr>
          <w:rFonts w:ascii="Arial" w:cs="Arial" w:eastAsia="Arial" w:hAnsi="Arial"/>
          <w:b/>
          <w:bCs/>
          <w:color w:val="2F6B5E"/>
          <w:sz w:val="22"/>
          <w:szCs w:val="22"/>
        </w:rPr>
        <w:t xml:space="preserve">HC-EMR-052 | Create Consent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to create a consent record for a planned procedure or treatment so that the patient's informed agreement is documented before proceeding.</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Create Consent form capturing consent type, procedure/treatment description, risks/benefits text, and the patient.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consent is created in an unsigned state pending the patient's signature (HC-EMR-054).</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Creating a consent requires the 'emr → create' permission.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Create consent form</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Consent</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consent_id, patient_id, consent_type, description</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Signed Flag</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is_signed</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consents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 — false on creation</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Consent Type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Description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Consent Type / Description</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provided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form from "EMR &gt;&gt; Consents &gt;&gt; Create".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Before a minor procedure the doctor creates a procedural consent for the patient to sign at the desk.</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"Required."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"Consent created."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description field supports standard consent-language templates where configured.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HC-EMR-053 (list), HC-EMR-054 (sign).</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with 'emr → create'.</w:t>
      </w:r>
    </w:p>
    <w:p>
      <w:pPr>
        <w:pStyle w:val="Heading3"/>
        <w:spacing w:after="120" w:before="220"/>
      </w:pPr>
      <w:r>
        <w:rPr>
          <w:rFonts w:ascii="Arial" w:cs="Arial" w:eastAsia="Arial" w:hAnsi="Arial"/>
          <w:b/>
          <w:bCs/>
          <w:color w:val="2F6B5E"/>
          <w:sz w:val="22"/>
          <w:szCs w:val="22"/>
        </w:rPr>
        <w:t xml:space="preserve">HC-EMR-053 | Patient Consent List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a patient's consent history so that I can confirm the right consent is on file before proceeding.</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per-patient consent list showing type, description, signed status, and date.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Unsigned consents are visually distinguished from signed ones.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list is read-only.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Patient consent list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list from "EMR &gt;&gt; Consents &gt;&gt; [patient]".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confirms the procedural consent is signed before starting the procedure.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exist: "No consents recorded for this patient."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Unsigned consents show an amber pending badge.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HC-EMR-052/054.</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and admins with 'emr → view'.</w:t>
      </w:r>
    </w:p>
    <w:p>
      <w:pPr>
        <w:pStyle w:val="Heading3"/>
        <w:spacing w:after="120" w:before="220"/>
      </w:pPr>
      <w:r>
        <w:rPr>
          <w:rFonts w:ascii="Arial" w:cs="Arial" w:eastAsia="Arial" w:hAnsi="Arial"/>
          <w:b/>
          <w:bCs/>
          <w:color w:val="2F6B5E"/>
          <w:sz w:val="22"/>
          <w:szCs w:val="22"/>
        </w:rPr>
        <w:t xml:space="preserve">HC-EMR-054 | Sign Consent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patient (or clinician on the patient's behalf), I want to sign a consent so that informed agreement is formally captured.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Sign action capturing the signature (captured signature image or confirmed acknowledgement) and the date/time of signing.</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Once signed, the consent's signed flag is set and it becomes read-only.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Signing is recorded with who witnessed/recorded it if the patient signs on a shared device.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Signature capture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Signed Flag / Signed At</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is_signed, signed_at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 / Timestamp</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Signature</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signature_image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consents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Image reference</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Signature Pad</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Signature capture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Signature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captured before marking signed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"Please capture a signature."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Consents &gt;&gt; [consent] &gt;&gt; Sign".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patient signs on the reception tablet; the consent becomes read-only and is available for the procedure record.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"Please capture a signature."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"Consent signed."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signed consent renders as a locked document with the signature embedded.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HC-EMR-052/053.</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and reception staff facilitating signature capture.</w:t>
      </w:r>
    </w:p>
    <w:p>
      <w:r>
        <w:br w:type="page"/>
      </w:r>
    </w:p>
    <w:p>
      <w:pPr>
        <w:pStyle w:val="Heading2"/>
        <w:spacing w:after="160" w:before="300"/>
      </w:pPr>
      <w:r>
        <w:rPr>
          <w:rFonts w:ascii="Arial" w:cs="Arial" w:eastAsia="Arial" w:hAnsi="Arial"/>
          <w:b/>
          <w:bCs/>
          <w:color w:val="1D9E75"/>
          <w:sz w:val="26"/>
          <w:szCs w:val="26"/>
        </w:rPr>
        <w:t xml:space="preserve">2.3 Care Plans and Chronic Programmes</w:t>
      </w:r>
    </w:p>
    <w:p>
      <w:pPr>
        <w:spacing w:after="100"/>
      </w:pPr>
      <w:r>
        <w:rPr>
          <w:rFonts w:ascii="Arial" w:cs="Arial" w:eastAsia="Arial" w:hAnsi="Arial"/>
          <w:sz w:val="20"/>
          <w:szCs w:val="20"/>
        </w:rPr>
        <w:t xml:space="preserve">Structured care plans and enrolment in chronic-disease management programmes, with a due-reviews worklist so patients needing scheduled review are never missed.</w:t>
      </w:r>
    </w:p>
    <w:p>
      <w:pPr>
        <w:pStyle w:val="Heading3"/>
        <w:spacing w:after="120" w:before="220"/>
      </w:pPr>
      <w:r>
        <w:rPr>
          <w:rFonts w:ascii="Arial" w:cs="Arial" w:eastAsia="Arial" w:hAnsi="Arial"/>
          <w:b/>
          <w:bCs/>
          <w:color w:val="2F6B5E"/>
          <w:sz w:val="22"/>
          <w:szCs w:val="22"/>
        </w:rPr>
        <w:t xml:space="preserve">HC-EMR-055 | Create, List, and Update Care Plan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create and maintain a structured care plan for a patient so that ongoing management goals and actions are documented and tracked.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care plan management: create a plan (goals, actions, review date), list a patient's plans, and update an existing plan.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plan links to the patient and, optionally, a chronic programme enrolment (HC-EMR-057).</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Updating a plan preserves its history; the current version is what clinicians see by default.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Creating or updating a plan requires the 'emr → create'/'emr → edit' permission.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Care plan list</w:t>
      </w:r>
    </w:p>
    <w:p>
      <w:pPr>
        <w:spacing w:after="100"/>
      </w:pPr>
      <w:r>
        <w:rPr>
          <w:rFonts w:ascii="Arial" w:cs="Arial" w:eastAsia="Arial" w:hAnsi="Arial"/>
          <w:sz w:val="20"/>
          <w:szCs w:val="20"/>
        </w:rPr>
        <w:t xml:space="preserve">Screen 2: Create/Update care plan form</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Care Plan</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plan_id, patient_id, goals, actions, review_date, 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care_plans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Goals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Actions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Review Date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Picker</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Goals / Actions / Review Date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provided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management from "EMR &gt;&gt; Care Plans".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creates a diabetes care plan with quarterly review goals and actions; it appears on the patient's plan list.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"Required."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"Care plan saved."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Review date drives the due-reviews worklist (HC-EMR-059).</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HC-EMR-056 (programme catalogue), HC-EMR-057 (enrolment), HC-EMR-059 (due reviews).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with 'emr → create'/'emr → edit'.</w:t>
      </w:r>
    </w:p>
    <w:p>
      <w:pPr>
        <w:pStyle w:val="Heading3"/>
        <w:spacing w:after="120" w:before="220"/>
      </w:pPr>
      <w:r>
        <w:rPr>
          <w:rFonts w:ascii="Arial" w:cs="Arial" w:eastAsia="Arial" w:hAnsi="Arial"/>
          <w:b/>
          <w:bCs/>
          <w:color w:val="2F6B5E"/>
          <w:sz w:val="22"/>
          <w:szCs w:val="22"/>
        </w:rPr>
        <w:t xml:space="preserve">HC-EMR-056 | Chronic Programme Catalogue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a catalogue of chronic-disease management programmes so that patients can be enrolled in a standard, recognised programme.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catalogue of chronic programmes (e.g., Diabetes Management, Hypertension Management) with name, description, and default review interval.</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Admins manage the catalogue; doctors select from it when enrolling a patient (HC-EMR-058).</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Inactive programmes do not appear for new enrolment.</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Chronic programme catalogue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Programme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programme_id, name, description, review_interval_days, is_active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chronic_programmes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Programme 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Description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Review Interval (days)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90</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Programme Name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catalogue from "EMR &gt;&gt; Care Plans &gt;&gt; Chronic Programmes".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admin adds a 'Chronic Kidney Disease Management' programme with a 60-day review interval.</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"Required."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"Programme saved."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Review interval pre-fills the due date at enrolment.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HC-EMR-057/058/059.</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(manage); doctors (view/select).</w:t>
      </w:r>
    </w:p>
    <w:p>
      <w:pPr>
        <w:pStyle w:val="Heading3"/>
        <w:spacing w:after="120" w:before="220"/>
      </w:pPr>
      <w:r>
        <w:rPr>
          <w:rFonts w:ascii="Arial" w:cs="Arial" w:eastAsia="Arial" w:hAnsi="Arial"/>
          <w:b/>
          <w:bCs/>
          <w:color w:val="2F6B5E"/>
          <w:sz w:val="22"/>
          <w:szCs w:val="22"/>
        </w:rPr>
        <w:t xml:space="preserve">HC-EMR-057 | Enrol Patient in Chronic Programme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enrol a patient in a chronic programme so that their ongoing management follows a structured, review-driven pathway.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Enrol action selecting a patient and a catalogue programme, setting an enrolment date and the first review due date (derived from the programme's review interval).</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patient can be enrolled in multiple programmes but not duplicated in the same active programme.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Enrolment requires the 'emr → create' permission.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Enrol patient form</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Enrolment</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enrolment_id, patient_id, programme_id, enrolled_at, next_review_due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programme_enrolments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Typeahead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Programme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Duplicate enrolment</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shall not already be actively enrolled in this programme</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is already enrolled in this programme."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Care Plans &gt;&gt; Chronic Programmes &gt;&gt; Enrol Patient".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enrols a newly diagnosed diabetic patient; the first review is due in 90 days per the programme default.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"Patient is already enrolled in this programme."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"Patient enrolled."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enrolment confirmation shows the calculated first review due date.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HC-EMR-056 (catalogue), HC-EMR-058 (update), HC-EMR-059 (due reviews).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with 'emr → create'.</w:t>
      </w:r>
    </w:p>
    <w:p>
      <w:pPr>
        <w:pStyle w:val="Heading3"/>
        <w:spacing w:after="120" w:before="220"/>
      </w:pPr>
      <w:r>
        <w:rPr>
          <w:rFonts w:ascii="Arial" w:cs="Arial" w:eastAsia="Arial" w:hAnsi="Arial"/>
          <w:b/>
          <w:bCs/>
          <w:color w:val="2F6B5E"/>
          <w:sz w:val="22"/>
          <w:szCs w:val="22"/>
        </w:rPr>
        <w:t xml:space="preserve">HC-EMR-058 | Update Enrolment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update a patient's programme enrolment so that review dates and status stay current as the patient progresses.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Update action on an enrolment allowing the review due date and status (Active / Completed / Withdrawn) to be changed.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Completing a review resets the next review due date per the programme's interval.</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Updates are recorded with the acting user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Update enrolment form</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 / Next Review Due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 next_review_due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programme_enrolments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Date</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(Active / Completed / Withdrawn)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Active</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Next Review Due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Date Picker</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Calculated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Care Plans &gt;&gt; Chronic Programmes &gt;&gt; [enrolment] &gt;&gt; Update".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After a completed quarterly review, the doctor updates the enrolment and the next review date rolls forward automatically.</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"Enrolment updated."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next-review date pre-calculates but remains editable.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HC-EMR-057; feeds HC-EMR-059.</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with 'emr → edit'.</w:t>
      </w:r>
    </w:p>
    <w:p>
      <w:pPr>
        <w:pStyle w:val="Heading3"/>
        <w:spacing w:after="120" w:before="220"/>
      </w:pPr>
      <w:r>
        <w:rPr>
          <w:rFonts w:ascii="Arial" w:cs="Arial" w:eastAsia="Arial" w:hAnsi="Arial"/>
          <w:b/>
          <w:bCs/>
          <w:color w:val="2F6B5E"/>
          <w:sz w:val="22"/>
          <w:szCs w:val="22"/>
        </w:rPr>
        <w:t xml:space="preserve">HC-EMR-059 | Due Reviews Worklist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or care coordinator, I want a list of patients whose chronic-programme review is due so that no patient falls through the cracks.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Due Reviews worklist listing enrolments whose next review due date has arrived or passed, showing patient, programme, doctor, and days overdue.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worklist supports filtering by programme and doctor.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Completing a review from the worklist opens the update action (HC-EMR-058).</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Due reviews worklist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Programme / Doctor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Dropdowns</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worklist from "EMR &gt;&gt; Care Plans &gt;&gt; Due Reviews".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care coordinator works through the list, calling patients whose diabetes review is 5 days overdue.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due: "No reviews currently due."</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Overdue entries sort to the top and show days-overdue in red.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HC-EMR-057/058.</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care coordinators with 'emr → view'.</w:t>
      </w:r>
    </w:p>
    <w:p>
      <w:r>
        <w:br w:type="page"/>
      </w:r>
    </w:p>
    <w:p>
      <w:pPr>
        <w:pStyle w:val="Heading2"/>
        <w:spacing w:after="160" w:before="300"/>
      </w:pPr>
      <w:r>
        <w:rPr>
          <w:rFonts w:ascii="Arial" w:cs="Arial" w:eastAsia="Arial" w:hAnsi="Arial"/>
          <w:b/>
          <w:bCs/>
          <w:color w:val="1D9E75"/>
          <w:sz w:val="26"/>
          <w:szCs w:val="26"/>
        </w:rPr>
        <w:t xml:space="preserve">2.4 Referrals and Second Opinions</w:t>
      </w:r>
    </w:p>
    <w:p>
      <w:pPr>
        <w:spacing w:after="100"/>
      </w:pPr>
      <w:r>
        <w:rPr>
          <w:rFonts w:ascii="Arial" w:cs="Arial" w:eastAsia="Arial" w:hAnsi="Arial"/>
          <w:sz w:val="20"/>
          <w:szCs w:val="20"/>
        </w:rPr>
        <w:t xml:space="preserve">Referring a patient to another specialty, tracking the referral to resolution, generating a referral letter, and a separate second-opinion request/response workflow for consulting a colleague without a formal referral. Twelve specialties are available for referral.</w:t>
      </w:r>
    </w:p>
    <w:p>
      <w:pPr>
        <w:pStyle w:val="Heading3"/>
        <w:spacing w:after="120" w:before="220"/>
      </w:pPr>
      <w:r>
        <w:rPr>
          <w:rFonts w:ascii="Arial" w:cs="Arial" w:eastAsia="Arial" w:hAnsi="Arial"/>
          <w:b/>
          <w:bCs/>
          <w:color w:val="2F6B5E"/>
          <w:sz w:val="22"/>
          <w:szCs w:val="22"/>
        </w:rPr>
        <w:t xml:space="preserve">HC-EMR-060 | Create Referral</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refer a patient to another specialty so that they receive care I cannot provide directly.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Create Referral form capturing patient, referring doctor, target specialty (from 12 available specialties), reason, and clinical summary.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referral is created with status Pending and appears in the target specialty's referral inbox (HC-EMR-061).</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Creating a referral requires the 'emr → create' permission.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Create referral form</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Referral</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referral_id, patient_id, referring_doctor_id, target_specialty, reason, 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referrals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status 'Pending'</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Target Specialty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(12 specialties)</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Reason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 Summary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Target Specialty / Reason</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provided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form from "EMR &gt;&gt; Referrals &gt;&gt; Create Referral".</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GP refers a patient to Cardiology with a clinical summary; the referral appears in Cardiology's inbox.</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"Required."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"Referral created."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specialty dropdown lists all 12 available specialties.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HC-EMR-061 (inbox), HC-EMR-062 (update), HC-EMR-063 (letter).</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with 'emr → create'.</w:t>
      </w:r>
    </w:p>
    <w:p>
      <w:pPr>
        <w:pStyle w:val="Heading3"/>
        <w:spacing w:after="120" w:before="220"/>
      </w:pPr>
      <w:r>
        <w:rPr>
          <w:rFonts w:ascii="Arial" w:cs="Arial" w:eastAsia="Arial" w:hAnsi="Arial"/>
          <w:b/>
          <w:bCs/>
          <w:color w:val="2F6B5E"/>
          <w:sz w:val="22"/>
          <w:szCs w:val="22"/>
        </w:rPr>
        <w:t xml:space="preserve">HC-EMR-061 | Referral Inbox</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specialist, I want an inbox of referrals sent to my specialty so that I can review and act on them promptly.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Referral Inbox listing referrals targeted at the doctor's specialty, showing patient, referring doctor, reason, status, and date.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Filters: status and date range.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Opening a referral leads to updating its status (HC-EMR-062).</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Referral inbox</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(All / Pending / Accepted / Completed / Declined)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Pending</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inbox from "EMR &gt;&gt; Referrals &gt;&gt; Inbox".</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cardiologist reviews new referrals each morning and accepts the ones requiring an appointment.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"No referrals in your inbox."</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Unread/new referrals are visually distinguished.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HC-EMR-060/062.</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(own specialty) with 'emr → view'.</w:t>
      </w:r>
    </w:p>
    <w:p>
      <w:pPr>
        <w:pStyle w:val="Heading3"/>
        <w:spacing w:after="120" w:before="220"/>
      </w:pPr>
      <w:r>
        <w:rPr>
          <w:rFonts w:ascii="Arial" w:cs="Arial" w:eastAsia="Arial" w:hAnsi="Arial"/>
          <w:b/>
          <w:bCs/>
          <w:color w:val="2F6B5E"/>
          <w:sz w:val="22"/>
          <w:szCs w:val="22"/>
        </w:rPr>
        <w:t xml:space="preserve">HC-EMR-062 | Update Referral</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specialist, I want to update a referral's status so that the referring doctor knows what happened to their patient.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status update on a referral: Pending → Accepted / Declined → Completed, with optional notes.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declined referral requires a reason.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referring doctor can see the current status and any notes.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Update referral status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 / Notes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 notes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referrals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(Accepted / Declined / Completed)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Notes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 (M if Declined)</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Decline reason</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provided when declining</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"Please enter a reason for declining."</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Referrals &gt;&gt; Inbox &gt;&gt; [referral] &gt;&gt; Update".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specialist accepts the referral and later marks it Completed after the consultation.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"Please enter a reason for declining."</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"Referral updated."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Status changes notify the referring doctor.</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HC-EMR-060/061.</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with 'emr → edit'.</w:t>
      </w:r>
    </w:p>
    <w:p>
      <w:pPr>
        <w:pStyle w:val="Heading3"/>
        <w:spacing w:after="120" w:before="220"/>
      </w:pPr>
      <w:r>
        <w:rPr>
          <w:rFonts w:ascii="Arial" w:cs="Arial" w:eastAsia="Arial" w:hAnsi="Arial"/>
          <w:b/>
          <w:bCs/>
          <w:color w:val="2F6B5E"/>
          <w:sz w:val="22"/>
          <w:szCs w:val="22"/>
        </w:rPr>
        <w:t xml:space="preserve">HC-EMR-063 | Generate Referral Letter</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generate a formal referral letter so that the specialist and patient have a printable, professional document.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generates a referral letter from the referral's details (patient, reason, clinical summary, referring doctor) using the hospital's letterhead.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letter can be printed or downloaded.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Generation is available for any referral regardless of status.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Generated referral letter</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Referrals &gt;&gt; [referral] &gt;&gt; Generate Letter".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prints the referral letter for the patient to hand-carry to the specialist.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generation fails: "Could not generate the letter.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Uses hospital branding (Admin Settings HC-ADS-001/005).</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HC-EMR-060; branding HC-ADS-001/005.</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staff with 'emr → view'.</w:t>
      </w:r>
    </w:p>
    <w:p>
      <w:pPr>
        <w:pStyle w:val="Heading3"/>
        <w:spacing w:after="120" w:before="220"/>
      </w:pPr>
      <w:r>
        <w:rPr>
          <w:rFonts w:ascii="Arial" w:cs="Arial" w:eastAsia="Arial" w:hAnsi="Arial"/>
          <w:b/>
          <w:bCs/>
          <w:color w:val="2F6B5E"/>
          <w:sz w:val="22"/>
          <w:szCs w:val="22"/>
        </w:rPr>
        <w:t xml:space="preserve">HC-EMR-064 | Request Second Opinion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request a colleague's second opinion on a case so that complex decisions benefit from another clinician's judgement without a formal referral.</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Request Second Opinion form capturing the target doctor, the case/consultation reference, and the question being asked.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request is created as Pending and appears in the target doctor's 'For Review' worklist (HC-EMR-065).</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This is distinct from a formal referral (HC-EMR-060): it does not transfer care, only seeks an opinion.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Request second opinion form</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Second Opinion Request</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request_id, requesting_doctor_id, target_doctor_id, consultation_id, question, 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second_opinions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'Pending'</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Target Doctor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Question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Target Doctor / Question</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provided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form from "EMR &gt;&gt; Second Opinions &gt;&gt; Request".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asks a senior colleague to review an ambiguous ECG finding.</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"Required."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"Second opinion requested."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question field is prominent to keep requests focused.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HC-EMR-065/066.</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with 'emr → create'.</w:t>
      </w:r>
    </w:p>
    <w:p>
      <w:pPr>
        <w:pStyle w:val="Heading3"/>
        <w:spacing w:after="120" w:before="220"/>
      </w:pPr>
      <w:r>
        <w:rPr>
          <w:rFonts w:ascii="Arial" w:cs="Arial" w:eastAsia="Arial" w:hAnsi="Arial"/>
          <w:b/>
          <w:bCs/>
          <w:color w:val="2F6B5E"/>
          <w:sz w:val="22"/>
          <w:szCs w:val="22"/>
        </w:rPr>
        <w:t xml:space="preserve">HC-EMR-065 | My Requests / For Review Worklists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two worklists — my outgoing requests and the ones sent to me for review — so that I can track both sides of second-opinion activity.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'My Requests' worklist (requests the doctor sent, with their status) and a 'For Review' worklist (requests sent to the doctor awaiting response).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Both worklists show the case reference, the other doctor, question, status, and date.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Selecting an item in 'For Review' leads to responding (HC-EMR-066).</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My Requests worklist</w:t>
      </w:r>
    </w:p>
    <w:p>
      <w:pPr>
        <w:spacing w:after="100"/>
      </w:pPr>
      <w:r>
        <w:rPr>
          <w:rFonts w:ascii="Arial" w:cs="Arial" w:eastAsia="Arial" w:hAnsi="Arial"/>
          <w:sz w:val="20"/>
          <w:szCs w:val="20"/>
        </w:rPr>
        <w:t xml:space="preserve">Screen 2: For Review worklist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worklists from "EMR &gt;&gt; Second Opinions &gt;&gt; My Requests" and "&gt;&gt; For Review".</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checks 'My Requests' to see if the senior colleague has responded yet, and separately checks 'For Review' for cases awaiting their own input.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"No items in this list."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Pending items are highlighted; responded items show a green check.</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HC-EMR-064/066.</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with 'emr → view'.</w:t>
      </w:r>
    </w:p>
    <w:p>
      <w:pPr>
        <w:pStyle w:val="Heading3"/>
        <w:spacing w:after="120" w:before="220"/>
      </w:pPr>
      <w:r>
        <w:rPr>
          <w:rFonts w:ascii="Arial" w:cs="Arial" w:eastAsia="Arial" w:hAnsi="Arial"/>
          <w:b/>
          <w:bCs/>
          <w:color w:val="2F6B5E"/>
          <w:sz w:val="22"/>
          <w:szCs w:val="22"/>
        </w:rPr>
        <w:t xml:space="preserve">HC-EMR-066 | Respond to Second Opinion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asked for a second opinion, I want to respond with my assessment so that the requesting doctor has the input they sought.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Respond action capturing the responding doctor's assessment/answer.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Responding moves the request to Completed and makes the response visible to the requesting doctor in 'My Requests'.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Responses are recorded with the acting doctor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Respond to second opinion form</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Response / Status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response, 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second_opinions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'Completed'</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Response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Response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your response."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Second Opinions &gt;&gt; For Review &gt;&gt; [request] &gt;&gt; Respond".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senior colleague reviews the ECG and responds with their assessment; the requesting doctor sees it in 'My Requests'.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"Enter your response."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"Response submitted."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original question is shown alongside the response field for context.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HC-EMR-064/065.</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with 'emr → edit'.</w:t>
      </w:r>
    </w:p>
    <w:p>
      <w:r>
        <w:br w:type="page"/>
      </w:r>
    </w:p>
    <w:p>
      <w:pPr>
        <w:pStyle w:val="Heading2"/>
        <w:spacing w:after="160" w:before="300"/>
      </w:pPr>
      <w:r>
        <w:rPr>
          <w:rFonts w:ascii="Arial" w:cs="Arial" w:eastAsia="Arial" w:hAnsi="Arial"/>
          <w:b/>
          <w:bCs/>
          <w:color w:val="1D9E75"/>
          <w:sz w:val="26"/>
          <w:szCs w:val="26"/>
        </w:rPr>
        <w:t xml:space="preserve">2.5 Discharge Summaries</w:t>
      </w:r>
    </w:p>
    <w:p>
      <w:pPr>
        <w:spacing w:after="100"/>
      </w:pPr>
      <w:r>
        <w:rPr>
          <w:rFonts w:ascii="Arial" w:cs="Arial" w:eastAsia="Arial" w:hAnsi="Arial"/>
          <w:sz w:val="20"/>
          <w:szCs w:val="20"/>
        </w:rPr>
        <w:t xml:space="preserve">Listing a patient's discharge summaries and updating/finalising one. An AI-generated draft can populate the editor (Core Clinical FRD, HC-EMR-037) before the doctor finalises it.</w:t>
      </w:r>
    </w:p>
    <w:p>
      <w:pPr>
        <w:pStyle w:val="Heading3"/>
        <w:spacing w:after="120" w:before="220"/>
      </w:pPr>
      <w:r>
        <w:rPr>
          <w:rFonts w:ascii="Arial" w:cs="Arial" w:eastAsia="Arial" w:hAnsi="Arial"/>
          <w:b/>
          <w:bCs/>
          <w:color w:val="2F6B5E"/>
          <w:sz w:val="22"/>
          <w:szCs w:val="22"/>
        </w:rPr>
        <w:t xml:space="preserve">HC-EMR-067 | Discharge Summary List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or admin, I want a patient's discharge summaries listed so that past admissions' final documentation is easy to find.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per-patient discharge summary list showing admission reference, date, discharging doctor, and status (Draft / Finalised).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Selecting a summary opens it for viewing or, if still Draft, editing.</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list is read-only; editing happens via HC-EMR-068.</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Discharge summary list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list from "EMR &gt;&gt; Discharge Summaries &gt;&gt; [patient]".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admin reviews a patient's past discharge summaries ahead of a re-admission.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"No discharge summaries for this patient."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Draft summaries show an amber badge; finalised ones green.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HC-EMR-068. AI draft: Core Clinical FRD HC-EMR-037.</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and admins with 'emr → view'.</w:t>
      </w:r>
    </w:p>
    <w:p>
      <w:pPr>
        <w:pStyle w:val="Heading3"/>
        <w:spacing w:after="120" w:before="220"/>
      </w:pPr>
      <w:r>
        <w:rPr>
          <w:rFonts w:ascii="Arial" w:cs="Arial" w:eastAsia="Arial" w:hAnsi="Arial"/>
          <w:b/>
          <w:bCs/>
          <w:color w:val="2F6B5E"/>
          <w:sz w:val="22"/>
          <w:szCs w:val="22"/>
        </w:rPr>
        <w:t xml:space="preserve">HC-EMR-068 | Update / Finalise Discharge Summary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write and finalise a patient's discharge summary so that the admission concludes with a complete, locked record of care.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discharge summary editor capturing admission overview, diagnoses, procedures, medications on discharge, follow-up instructions, and condition at discharge.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editor may be pre-populated by the AI draft action (Core Clinical FRD, HC-EMR-037); all content remains editable before finalisation.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Finalise action locks the summary; a locked summary cannot be freely edited thereafter (any correction follows the same author-or-admin, versioned principle as clinical notes).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Finalising requires the chief discharge fields (diagnoses, follow-up instructions) to be present.</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Finalising is recorded with the acting doctor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Discharge summary editor</w:t>
      </w:r>
    </w:p>
    <w:p>
      <w:pPr>
        <w:spacing w:after="100"/>
      </w:pPr>
      <w:r>
        <w:rPr>
          <w:rFonts w:ascii="Arial" w:cs="Arial" w:eastAsia="Arial" w:hAnsi="Arial"/>
          <w:sz w:val="20"/>
          <w:szCs w:val="20"/>
        </w:rPr>
        <w:t xml:space="preserve">Screen 2: Finalise confirmation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Summary Content</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overview, diagnoses, procedures, discharge_medications, follow_up, condition</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discharge_summaries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Status</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status</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discharge_summaries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(Draft / Finalised)</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Admission Overview</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Diagnoses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From HC-EMR-020/023</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Discharge Medications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From HC-EMR-019</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Follow-up Instructions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Condition at Discharge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Diagnoses / Follow-up Instructions</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provided before finalising</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"Complete the required fields before finalising."</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editor from "EMR &gt;&gt; Discharge Summaries &gt;&gt; [patient] &gt;&gt; New / Edit".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reviews the AI-drafted summary, edits the follow-up plan, and finalises it, locking the record.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An attempt to finalise with no follow-up instructions is blocked.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"Complete the required fields before finalising."</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"Discharge summary finalised."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Finalised summaries show a lock icon and the finalising doctor and time.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Core Clinical FRD HC-EMR-037 (AI draft), HC-EMR-019/020/023 (medications/diagnoses feed content). Print/branding HC-ADS-005.</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with 'emr → edit'; only the discharging doctor or admin finalises.</w:t>
      </w:r>
    </w:p>
    <w:p>
      <w:r>
        <w:br w:type="page"/>
      </w:r>
    </w:p>
    <w:p>
      <w:pPr>
        <w:pStyle w:val="Heading2"/>
        <w:spacing w:after="160" w:before="300"/>
      </w:pPr>
      <w:r>
        <w:rPr>
          <w:rFonts w:ascii="Arial" w:cs="Arial" w:eastAsia="Arial" w:hAnsi="Arial"/>
          <w:b/>
          <w:bCs/>
          <w:color w:val="1D9E75"/>
          <w:sz w:val="26"/>
          <w:szCs w:val="26"/>
        </w:rPr>
        <w:t xml:space="preserve">2.6 Clinical Photos and Voice</w:t>
      </w:r>
    </w:p>
    <w:p>
      <w:pPr>
        <w:spacing w:after="100"/>
      </w:pPr>
      <w:r>
        <w:rPr>
          <w:rFonts w:ascii="Arial" w:cs="Arial" w:eastAsia="Arial" w:hAnsi="Arial"/>
          <w:sz w:val="20"/>
          <w:szCs w:val="20"/>
        </w:rPr>
        <w:t xml:space="preserve">Uploading and managing clinical photographs (wounds, rashes, procedure sites) and capturing dictated voice transcripts as part of the clinical record.</w:t>
      </w:r>
    </w:p>
    <w:p>
      <w:pPr>
        <w:pStyle w:val="Heading3"/>
        <w:spacing w:after="120" w:before="220"/>
      </w:pPr>
      <w:r>
        <w:rPr>
          <w:rFonts w:ascii="Arial" w:cs="Arial" w:eastAsia="Arial" w:hAnsi="Arial"/>
          <w:b/>
          <w:bCs/>
          <w:color w:val="2F6B5E"/>
          <w:sz w:val="22"/>
          <w:szCs w:val="22"/>
        </w:rPr>
        <w:t xml:space="preserve">HC-EMR-069 | Upload Clinical Photo</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to upload a clinical photograph so that visual findings are part of the patient's record.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photo upload capturing the image file, a caption/description, and a link to the patient (and optionally the consultation).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Accepted file types and size limits are enforced.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upload is recorded with the acting user and time.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Uploading requires the 'emr → create' permission.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Clinical photo upload form</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Photo</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photo_id, patient_id, consultation_id, caption, file_ref</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clinical_photos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Uploaded By / At</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uploaded_by, uploaded_at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clinical_photos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 / Timestamp</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Photo</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File upload (image)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Caption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Photo</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an accepted image type within the size limit</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"Unsupported file or file too large."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upload from "EMR &gt;&gt; Clinical Photos &gt;&gt; Upload".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photographs a healing wound to compare against the next visit's image.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"Unsupported file or file too large."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"Photo uploaded."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 preview thumbnail shows immediately after upload.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HC-EMR-070 (gallery), HC-EMR-071 (delete).</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with 'emr → create'.</w:t>
      </w:r>
    </w:p>
    <w:p>
      <w:pPr>
        <w:pStyle w:val="Heading3"/>
        <w:spacing w:after="120" w:before="220"/>
      </w:pPr>
      <w:r>
        <w:rPr>
          <w:rFonts w:ascii="Arial" w:cs="Arial" w:eastAsia="Arial" w:hAnsi="Arial"/>
          <w:b/>
          <w:bCs/>
          <w:color w:val="2F6B5E"/>
          <w:sz w:val="22"/>
          <w:szCs w:val="22"/>
        </w:rPr>
        <w:t xml:space="preserve">HC-EMR-070 | Patient Photo Gallery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clinician, I want a patient's clinical photos in a gallery so that visual progress over time is easy to review.</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per-patient photo gallery showing thumbnails with caption and date, orderable chronologically.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Selecting a photo opens it full-size.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gallery is read-only; deletion is a separate action (HC-EMR-071).</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Patient photo gallery</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gallery from "EMR &gt;&gt; Clinical Photos &gt;&gt; [patient]".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compares three wound photos taken over successive visits to assess healing.</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"No clinical photos for this patient."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Thumbnails display in a chronological grid.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HC-EMR-069.</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Clinicians and admins with 'emr → view'.</w:t>
      </w:r>
    </w:p>
    <w:p>
      <w:pPr>
        <w:pStyle w:val="Heading3"/>
        <w:spacing w:after="120" w:before="220"/>
      </w:pPr>
      <w:r>
        <w:rPr>
          <w:rFonts w:ascii="Arial" w:cs="Arial" w:eastAsia="Arial" w:hAnsi="Arial"/>
          <w:b/>
          <w:bCs/>
          <w:color w:val="2F6B5E"/>
          <w:sz w:val="22"/>
          <w:szCs w:val="22"/>
        </w:rPr>
        <w:t xml:space="preserve">HC-EMR-071 | Delete Clinical Photo</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the uploader or an admin, I want to delete a clinical photo uploaded in error so that the record stays accurate.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Delete action restricted to the uploader or an admin.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Deletion requires confirmation and is recorded with the acting user and time.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Deletion is logical where retention policy requires the file to be preserved for audit.</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Delete photo confirmation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Deleter identity</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the uploader or an admin</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"Only the uploader or an administrator can delete this photo."</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Clinical Photos &gt;&gt; [photo] &gt;&gt; Delete".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blurred, unusable photo is deleted by the uploader immediately after taking a clearer one.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"Only the uploader or an administrator can delete this photo."</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"Photo deleted."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Destructive confirmation shows the photo thumbnail being deleted.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HC-EMR-069/070.</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Uploader or admin.</w:t>
      </w:r>
    </w:p>
    <w:p>
      <w:pPr>
        <w:pStyle w:val="Heading3"/>
        <w:spacing w:after="120" w:before="220"/>
      </w:pPr>
      <w:r>
        <w:rPr>
          <w:rFonts w:ascii="Arial" w:cs="Arial" w:eastAsia="Arial" w:hAnsi="Arial"/>
          <w:b/>
          <w:bCs/>
          <w:color w:val="2F6B5E"/>
          <w:sz w:val="22"/>
          <w:szCs w:val="22"/>
        </w:rPr>
        <w:t xml:space="preserve">HC-EMR-072 | Voice Transcript Capture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capture a dictated note as a transcript so that I can document quickly by speaking rather than typing.</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voice capture action that records dictation and produces a text transcript linked to the consultation.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transcript is inserted into the note as a starting point for the doctor to review and edit; it is not treated as a final, authoritative note until reviewed.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Capturing a transcript requires the 'emr → create' permission.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Voice capture control</w:t>
      </w:r>
    </w:p>
    <w:p>
      <w:pPr>
        <w:spacing w:after="100"/>
      </w:pPr>
      <w:r>
        <w:rPr>
          <w:rFonts w:ascii="Arial" w:cs="Arial" w:eastAsia="Arial" w:hAnsi="Arial"/>
          <w:sz w:val="20"/>
          <w:szCs w:val="20"/>
        </w:rPr>
        <w:t xml:space="preserve">Screen 2: Transcript inserted into note (editable)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Transcript</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transcript_text, consultation_id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voice_transcripts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Record / Stop</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Buttons</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control from "EMR &gt;&gt; Clinical Notes &gt;&gt; [consultation] &gt;&gt; Dictate".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dictates the Objective section while examining the patient; the transcript appears for review and light editing before saving.</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transcription fails: "Could not transcribe. Please try again or type the note directly."</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Transcript inserted into the note editor.</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 visible recording indicator shows while capturing; the transcript is clearly editable, not locked.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Feeds the note editor (Core Clinical FRD HC-EMR-002).</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with 'emr → create'.</w:t>
      </w:r>
    </w:p>
    <w:p>
      <w:r>
        <w:br w:type="page"/>
      </w:r>
    </w:p>
    <w:p>
      <w:pPr>
        <w:pStyle w:val="Heading2"/>
        <w:spacing w:after="160" w:before="300"/>
      </w:pPr>
      <w:r>
        <w:rPr>
          <w:rFonts w:ascii="Arial" w:cs="Arial" w:eastAsia="Arial" w:hAnsi="Arial"/>
          <w:b/>
          <w:bCs/>
          <w:color w:val="1D9E75"/>
          <w:sz w:val="26"/>
          <w:szCs w:val="26"/>
        </w:rPr>
        <w:t xml:space="preserve">2.7 Coding Audit and Service Packages</w:t>
      </w:r>
    </w:p>
    <w:p>
      <w:pPr>
        <w:spacing w:after="100"/>
      </w:pPr>
      <w:r>
        <w:rPr>
          <w:rFonts w:ascii="Arial" w:cs="Arial" w:eastAsia="Arial" w:hAnsi="Arial"/>
          <w:sz w:val="20"/>
          <w:szCs w:val="20"/>
        </w:rPr>
        <w:t xml:space="preserve">Documentation-quality auditing of clinical coding, and service packages (bundles of services) that can be looked up by ICD code.</w:t>
      </w:r>
    </w:p>
    <w:p>
      <w:pPr>
        <w:pStyle w:val="Heading3"/>
        <w:spacing w:after="120" w:before="220"/>
      </w:pPr>
      <w:r>
        <w:rPr>
          <w:rFonts w:ascii="Arial" w:cs="Arial" w:eastAsia="Arial" w:hAnsi="Arial"/>
          <w:b/>
          <w:bCs/>
          <w:color w:val="2F6B5E"/>
          <w:sz w:val="22"/>
          <w:szCs w:val="22"/>
        </w:rPr>
        <w:t xml:space="preserve">HC-EMR-073 | Coding Audit Summary and List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or quality reviewer, I want a summary and list of coding audit findings so that documentation quality across the hospital is visible.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Coding Audit summary (aggregate findings by category) and a list of individual audit results, showing consultation, doctor, finding category, and severity.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Filters: doctor, date range, finding category.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view is read-only; audits themselves are generated by HC-EMR-074.</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Coding audit summary</w:t>
      </w:r>
    </w:p>
    <w:p>
      <w:pPr>
        <w:spacing w:after="100"/>
      </w:pPr>
      <w:r>
        <w:rPr>
          <w:rFonts w:ascii="Arial" w:cs="Arial" w:eastAsia="Arial" w:hAnsi="Arial"/>
          <w:sz w:val="20"/>
          <w:szCs w:val="20"/>
        </w:rPr>
        <w:t xml:space="preserve">Screen 2: Coding audit list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Doctor / Date Range / Category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 Date Picker / Dropdown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 / This month / All</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"EMR &gt;&gt; Coding Audit".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quality reviewer sees that missing primary-diagnosis coding is the most common finding this month.</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"No coding audit findings for the selected filters."</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Findings group by category with counts.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HC-EMR-074 (generation).</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and quality reviewers with 'emr → view'.</w:t>
      </w:r>
    </w:p>
    <w:p>
      <w:pPr>
        <w:pStyle w:val="Heading3"/>
        <w:spacing w:after="120" w:before="220"/>
      </w:pPr>
      <w:r>
        <w:rPr>
          <w:rFonts w:ascii="Arial" w:cs="Arial" w:eastAsia="Arial" w:hAnsi="Arial"/>
          <w:b/>
          <w:bCs/>
          <w:color w:val="2F6B5E"/>
          <w:sz w:val="22"/>
          <w:szCs w:val="22"/>
        </w:rPr>
        <w:t xml:space="preserve">HC-EMR-074 | Generate Coding Audit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generate a coding audit over a set of consultations so that documentation-quality issues are identified systematically.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Generate Coding Audit action over a date range (and optionally a specific doctor) that reviews completed consultations for documentation-quality issues (e.g., missing primary diagnosis, prescription without diagnosis link, incomplete note sections).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Results populate the audit summary and list (HC-EMR-073).</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Generation is recorded with the acting admin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Generate coding audit form</w:t>
      </w:r>
    </w:p>
    <w:p>
      <w:pPr>
        <w:spacing w:after="100"/>
      </w:pPr>
      <w:r>
        <w:rPr>
          <w:rFonts w:ascii="Arial" w:cs="Arial" w:eastAsia="Arial" w:hAnsi="Arial"/>
          <w:sz w:val="20"/>
          <w:szCs w:val="20"/>
        </w:rPr>
        <w:t xml:space="preserve">Screen 2: Generation result summary</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Audit Run</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run_id, date_range, doctor_id, generated_by, generated_at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coding_audit_runs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Findings</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consultation_id, finding_category, severity</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coding_audit_findings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Range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Picker (range)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This month</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Doctor</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 (optional)</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All</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"EMR &gt;&gt; Coding Audit &gt;&gt; Generate".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admin runs a monthly audit; 14 findings appear, mostly missing secondary diagnoses.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 consultations in range: "No completed consultations found for the selected period."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"Coding audit generated: [N] findings."</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result summary links directly into the findings list.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HC-EMR-073; draws on HC-EMR-009/020 (Core Clinical FRD).</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HC-EMR-075 | Service Packages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or billing clerk, I want service packages (bundles of services) and to look them up by ICD code so that common treatment bundles are billed and documented consistently.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Service Package management: list, create, and look up packages by ICD code.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package captures a name, its constituent services (from the Service Master), and a bundled price.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Looking up by ICD code returns packages associated with that diagnosis for quick selection during billing or planning.</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Creating a package is admin-only.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Service package list</w:t>
      </w:r>
    </w:p>
    <w:p>
      <w:pPr>
        <w:spacing w:after="100"/>
      </w:pPr>
      <w:r>
        <w:rPr>
          <w:rFonts w:ascii="Arial" w:cs="Arial" w:eastAsia="Arial" w:hAnsi="Arial"/>
          <w:sz w:val="20"/>
          <w:szCs w:val="20"/>
        </w:rPr>
        <w:t xml:space="preserve">Screen 2: Create package form</w:t>
      </w:r>
    </w:p>
    <w:p>
      <w:pPr>
        <w:spacing w:after="100"/>
      </w:pPr>
      <w:r>
        <w:rPr>
          <w:rFonts w:ascii="Arial" w:cs="Arial" w:eastAsia="Arial" w:hAnsi="Arial"/>
          <w:sz w:val="20"/>
          <w:szCs w:val="20"/>
        </w:rPr>
        <w:t xml:space="preserve">Screen 3: ICD-code package lookup</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Package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package_id, name, bundled_price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service_packages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Decimal</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Package Service</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service_id</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service_package_items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ICD Association</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icd_code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service_package_icd</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Package 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Constituent Services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Multi-select (Service Master)</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 (≥1)</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Bundled Price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0</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Associated ICD Codes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Multi-select (ICD master)</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Package Name / Services / Price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provided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management from "EMR &gt;&gt; Service Packages".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admin creates a 'Normal Delivery Package' bundling room, delivery, and standard tests at a fixed price, associated with the relevant ICD code.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doctor planning a diabetes-related admission looks up packages by the diabetes ICD code and finds the relevant bundle.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"Required."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"Service package saved."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ICD lookup shows matching packages with their bundled price.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Service Master owned by Admin Settings (HC-ADS-010); ICD master (Core Clinical FRD HC-EMR-021/022, doc reference).</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(create); billing staff and doctors (view/lookup).</w:t>
      </w:r>
    </w:p>
    <w:p>
      <w:r>
        <w:br w:type="page"/>
      </w:r>
    </w:p>
    <w:p>
      <w:pPr>
        <w:pStyle w:val="Heading2"/>
        <w:spacing w:after="160" w:before="300"/>
      </w:pPr>
      <w:r>
        <w:rPr>
          <w:rFonts w:ascii="Arial" w:cs="Arial" w:eastAsia="Arial" w:hAnsi="Arial"/>
          <w:b/>
          <w:bCs/>
          <w:color w:val="1D9E75"/>
          <w:sz w:val="26"/>
          <w:szCs w:val="26"/>
        </w:rPr>
        <w:t xml:space="preserve">2.8 Clinical Queue and Departments</w:t>
      </w:r>
    </w:p>
    <w:p>
      <w:pPr>
        <w:spacing w:after="100"/>
      </w:pPr>
      <w:r>
        <w:rPr>
          <w:rFonts w:ascii="Arial" w:cs="Arial" w:eastAsia="Arial" w:hAnsi="Arial"/>
          <w:sz w:val="20"/>
          <w:szCs w:val="20"/>
        </w:rPr>
        <w:t xml:space="preserve">The doctor's clinical queue as surfaced within EMR, and EMR-scoped department management with default-template assignment. Scope note: this is the fourth queue-like implementation identified across the system (alongside the Queue &amp; Check-in module and the Appointments module's own queue functions). It is documented here as it exists in EMR's own router, with a consolidation recommendation in Section 3.2, Gap 3. Department records themselves are owned by the User Management &amp; Authentication FRD; only the EMR-specific default-template assignment is unique to this section (already specified as HC-EMR-051).</w:t>
      </w:r>
    </w:p>
    <w:p>
      <w:pPr>
        <w:pStyle w:val="Heading3"/>
        <w:spacing w:after="120" w:before="220"/>
      </w:pPr>
      <w:r>
        <w:rPr>
          <w:rFonts w:ascii="Arial" w:cs="Arial" w:eastAsia="Arial" w:hAnsi="Arial"/>
          <w:b/>
          <w:bCs/>
          <w:color w:val="2F6B5E"/>
          <w:sz w:val="22"/>
          <w:szCs w:val="22"/>
        </w:rPr>
        <w:t xml:space="preserve">HC-EMR-076 | Doctor's Clinical Queue (EMR View)</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doctor, I want to see my clinical queue for today from within EMR so that I can move from one patient's note to the next without switching modules.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Today's Clinical Queue view within EMR listing the doctor's patients for the day in queue order, with a 'full' variant showing additional detail (arrival time, vitals-recorded flag, chief complaint if captured).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Selecting a patient opens or starts their consultation (Core Clinical FRD HC-EMR-001).</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This view reads from the same underlying queue data as the Queue &amp; Check-in module (HC-QUE-011) and the Appointments module; it does not maintain a separate queue order of its own.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view is scoped to the acting doctor; admins may view across doctors.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Today's clinical queue (EMR)</w:t>
      </w:r>
    </w:p>
    <w:p>
      <w:pPr>
        <w:spacing w:after="100"/>
      </w:pPr>
      <w:r>
        <w:rPr>
          <w:rFonts w:ascii="Arial" w:cs="Arial" w:eastAsia="Arial" w:hAnsi="Arial"/>
          <w:sz w:val="20"/>
          <w:szCs w:val="20"/>
        </w:rPr>
        <w:t xml:space="preserve">Screen 2: Full detail variant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"EMR &gt;&gt; Clinical Notes &gt;&gt; Today's Queue".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doctor works through their queue from within EMR, starting each consultation directly from the queue row.</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it cannot be loaded: "Unable to load your queue.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Mirrors the status colours used in the Queue &amp; Check-in module for consistency.</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Reads the same data as Queue &amp; Check-in (HC-QUE-011) and Appointments queue functions. Consolidation recommendation: Section 3.2, Gap 3.</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Doctors (own queue); admins across doctors.</w:t>
      </w:r>
    </w:p>
    <w:p>
      <w:pPr>
        <w:pStyle w:val="Heading3"/>
        <w:spacing w:after="120" w:before="220"/>
      </w:pPr>
      <w:r>
        <w:rPr>
          <w:rFonts w:ascii="Arial" w:cs="Arial" w:eastAsia="Arial" w:hAnsi="Arial"/>
          <w:b/>
          <w:bCs/>
          <w:color w:val="2F6B5E"/>
          <w:sz w:val="22"/>
          <w:szCs w:val="22"/>
        </w:rPr>
        <w:t xml:space="preserve">HC-EMR-077 | EMR Department Default-Template Management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manage departments' default EMR templates in one place so that department-level clinical documentation defaults are easy to maintain.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departments-with-defaults view listing each department alongside its currently assigned default EMR template.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This view is the management surface for the default-template assignment already specified in HC-EMR-051; department creation and structure themselves are owned by the User Management &amp; Authentication FRD (HC-USR-022 to HC-USR-024) and are not re-specified here.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Only the default-template column is editable from this view.</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Departments list with default-template column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"EMR &gt;&gt; Templates &gt;&gt; Department Defaults" (the same function as HC-EMR-051, presented as a full department list).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admin scans all departments in one screen and spots one with no default template assigned.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Departments without a default template are flagged for attention.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HC-EMR-051 (the underlying set-default action); department master HC-USR-022 to HC-USR-024.</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HC-EMR-078 | EMR Stats Overview</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a dashboard of EMR activity counts so that clinical documentation volume and throughput are visible.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EMR Stats Overview showing counts such as consultations today/this month, completed vs draft, prescriptions issued, orders placed, and templates in use.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dashboard filters by date range and respects facility scoping.</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It is read-only.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EMR stats dashboard</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Range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Picker (range)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This month</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dashboard from "EMR &gt;&gt; Stats Overview".</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admin reviews this month's consultation volume and the ratio of completed to draft notes.</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Summary cards for each metric with a small trend indicator.</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Aggregates data across this document and the Core Clinical FRD.</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and managers with 'emr → view'.</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3. Non-Functional Requirements</w:t>
      </w:r>
    </w:p>
    <w:p>
      <w:pPr>
        <w:pStyle w:val="Heading2"/>
        <w:spacing w:after="160" w:before="300"/>
      </w:pPr>
      <w:r>
        <w:rPr>
          <w:rFonts w:ascii="Arial" w:cs="Arial" w:eastAsia="Arial" w:hAnsi="Arial"/>
          <w:b/>
          <w:bCs/>
          <w:color w:val="1D9E75"/>
          <w:sz w:val="26"/>
          <w:szCs w:val="26"/>
        </w:rPr>
        <w:t xml:space="preserve">3.1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NFR ID</w:t>
            </w:r>
          </w:p>
        </w:tc>
        <w:tc>
          <w:tcPr>
            <w:tcW w:type="dxa" w:w="2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Category</w:t>
            </w:r>
          </w:p>
        </w:tc>
        <w:tc>
          <w:tcPr>
            <w:tcW w:type="dxa" w:w="6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Requirement</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NFR-001</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Access Control</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Consistent with Part 1, the majority of this document's functions shall carry explicit 'emr' permission checks; template and coding-audit creation are admin-restricted; consent signing may be facilitated by reception staff on the patient's behalf.</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NFR-002</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Template Resolution Determinism</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Template resolution (HC-EMR-050) shall always produce exactly one applicable template (or a blank fallback) via a fixed precedence order (department default → specialty match → general fallback), so a doctor is never presented with ambiguous or conflicting template choices at consultation start.</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NFR-003</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Non-Destructive Corrections</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Locked/finalised documents (a completed discharge summary) follow the same author-or-admin, versioned-amendment principle as clinical notes in Part 1; no finalised document is silently overwritten.</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NFR-004</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Second Opinion vs Referral Distinction</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 second-opinion request (HC-EMR-064) never transfers care or changes the patient's assigned doctor; only a formal referral (HC-EMR-060) does. The two workflows and their data remain distinct.</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NFR-005</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Retention</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 photographs and voice transcripts, once deleted, are removed from active use but preserved per the organisation's audit retention policy where required (see Admin Settings HC-ADS-027 audit retention).</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NFR-006</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Auditability</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Template changes, consent signing, care-plan and enrolment updates, referral and second-opinion status changes, discharge finalisation, and photo/document deletion shall be recorded with actor and timestamp, consistent with the platform standard.</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NFR-007</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Usability &amp; Compatibility</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Template builders, consent capture, and worklists shall work consistently across Chrome, Firefox, Edge, and Safari, and support keyboard navigation and screen readers.</w:t>
            </w:r>
          </w:p>
        </w:tc>
      </w:tr>
    </w:tbl>
    <w:p>
      <w:pPr>
        <w:pStyle w:val="Heading2"/>
        <w:spacing w:after="160" w:before="300"/>
      </w:pPr>
      <w:r>
        <w:rPr>
          <w:rFonts w:ascii="Arial" w:cs="Arial" w:eastAsia="Arial" w:hAnsi="Arial"/>
          <w:b/>
          <w:bCs/>
          <w:color w:val="1D9E75"/>
          <w:sz w:val="26"/>
          <w:szCs w:val="26"/>
        </w:rPr>
        <w:t xml:space="preserve">3.2 Open Issues (Code-Verified)</w:t>
      </w:r>
    </w:p>
    <w:p>
      <w:pPr>
        <w:spacing w:after="100"/>
      </w:pPr>
      <w:r>
        <w:rPr>
          <w:rFonts w:ascii="Arial" w:cs="Arial" w:eastAsia="Arial" w:hAnsi="Arial"/>
          <w:b/>
          <w:bCs/>
          <w:sz w:val="20"/>
          <w:szCs w:val="20"/>
        </w:rPr>
        <w:t xml:space="preserve">Issue 1. </w:t>
      </w:r>
      <w:r>
        <w:rPr>
          <w:rFonts w:ascii="Arial" w:cs="Arial" w:eastAsia="Arial" w:hAnsi="Arial"/>
          <w:sz w:val="20"/>
          <w:szCs w:val="20"/>
        </w:rPr>
        <w:t xml:space="preserve">Three-and-a-half competing template systems. Alongside the canonical system specified in Section 2.1, the code contains a legacy Clinical Templates list, a third Specialty Templates system with ICD-based suggestion, and a Speciality Forms dynamic-form system (with a British/American spelling split between the two, itself a sign of uncoordinated parallel development). Requirement: product and engineering should decide, for each legacy system, whether to migrate its data into the canonical Templates system or formally retire it. Until that decision is made, new development should extend only the canonical system. See Appendix 6.1 for the full legacy inventory. Priority: high (documentation and technical debt risk).</w:t>
      </w:r>
    </w:p>
    <w:p>
      <w:pPr>
        <w:spacing w:after="100"/>
      </w:pPr>
      <w:r>
        <w:rPr>
          <w:rFonts w:ascii="Arial" w:cs="Arial" w:eastAsia="Arial" w:hAnsi="Arial"/>
          <w:b/>
          <w:bCs/>
          <w:sz w:val="20"/>
          <w:szCs w:val="20"/>
        </w:rPr>
        <w:t xml:space="preserve">Issue 2. </w:t>
      </w:r>
      <w:r>
        <w:rPr>
          <w:rFonts w:ascii="Arial" w:cs="Arial" w:eastAsia="Arial" w:hAnsi="Arial"/>
          <w:sz w:val="20"/>
          <w:szCs w:val="20"/>
        </w:rPr>
        <w:t xml:space="preserve">A fourth clinical-queue implementation exists within EMR (HC-EMR-076), alongside the Queue &amp; Check-in module (HC-QUE-011) and the Appointments module's own queue functions. All appear to read overlapping underlying data through different code paths. Requirement: consolidate to a single queue data source with multiple presentation views (EMR, front-desk, Appointments), rather than parallel implementations. Priority: medium.</w:t>
      </w:r>
    </w:p>
    <w:p>
      <w:pPr>
        <w:spacing w:after="100"/>
      </w:pPr>
      <w:r>
        <w:rPr>
          <w:rFonts w:ascii="Arial" w:cs="Arial" w:eastAsia="Arial" w:hAnsi="Arial"/>
          <w:b/>
          <w:bCs/>
          <w:sz w:val="20"/>
          <w:szCs w:val="20"/>
        </w:rPr>
        <w:t xml:space="preserve">Issue 3. </w:t>
      </w:r>
      <w:r>
        <w:rPr>
          <w:rFonts w:ascii="Arial" w:cs="Arial" w:eastAsia="Arial" w:hAnsi="Arial"/>
          <w:sz w:val="20"/>
          <w:szCs w:val="20"/>
        </w:rPr>
        <w:t xml:space="preserve">Department master duplication risk. This document's department-with-defaults view (HC-EMR-077) must continue to read the single department master owned by the User Management &amp; Authentication FRD; it must not maintain a separate copy of department data.</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4. Assumptions and Constraints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This document (Part 2) and the companion Core Clinical FRD (Part 1) together specify the complete EMR / Clinical module; feature numbering is continuous across both (HC-EMR-001 to HC-EMR-078).</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canonical template system (Section 2.1) is the system of record for template resolution at consultation start; the three legacy/parallel systems (Appendix 6.1) are not extended by new features in this document.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second-opinion request is distinct from a referral: it seeks an opinion without transferring care, and its data (question/response) is separate from referral records.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Discharge summary finalisation follows the same locking and versioned-amendment principle as clinical notes (Part 1, HC-EMR-003/006/007), applied here to HC-EMR-068.</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clinical-queue view in this document (HC-EMR-076) is a presentation layer over the same underlying queue data used by the Queue &amp; Check-in and Appointments modules; it is not a fourth independent source of truth going forward, pending the consolidation in Section 3.2, Gap 2.</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Department structure itself is owned by the User Management &amp; Authentication FRD; this document's department view is limited to the EMR-specific default-template column.</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Service packages reference the Service Master (Admin Settings) and the ICD master (Part 1); they do not maintain independent copies of service or diagnosis data.</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Clinical photo and voice-transcript deletion is logical where audit retention policy requires the underlying file to be preserved.</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Term</w:t>
            </w:r>
          </w:p>
        </w:tc>
        <w:tc>
          <w:tcPr>
            <w:tcW w:type="dxa" w:w="67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Definition</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Canonical Template System</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Templates + Resolve Template system (Section 2.1) designated as the system of record, as distinct from three legacy/parallel template systems (Appendix 6.1).</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Chronic Programme</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 structured, recognised management pathway (e.g., Diabetes Management) a patient can be enrolled in, with a review-driven schedule.</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Consent</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 documented, signed patient agreement to a specific procedure or treatment.</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Referral</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 formal request transferring a patient's care (for a specific matter) to another specialty.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Second Opinion</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 request for a colleague's assessment on a case, without transferring care.</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Template Resolution</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The system's automatic determination of which single template applies to a consultation, by department default, then specialty match, then general fallback.</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Due Review</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 chronic-programme enrolment whose scheduled review date has arrived or passed.</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6. Appendix</w:t>
      </w:r>
    </w:p>
    <w:p>
      <w:pPr>
        <w:pStyle w:val="Heading2"/>
        <w:spacing w:after="160" w:before="300"/>
      </w:pPr>
      <w:r>
        <w:rPr>
          <w:rFonts w:ascii="Arial" w:cs="Arial" w:eastAsia="Arial" w:hAnsi="Arial"/>
          <w:b/>
          <w:bCs/>
          <w:color w:val="1D9E75"/>
          <w:sz w:val="26"/>
          <w:szCs w:val="26"/>
        </w:rPr>
        <w:t xml:space="preserve">6.1 Legacy and Parallel Template Systems (Not Separately Specified)</w:t>
      </w:r>
    </w:p>
    <w:p>
      <w:pPr>
        <w:spacing w:after="100"/>
      </w:pPr>
      <w:r>
        <w:rPr>
          <w:rFonts w:ascii="Arial" w:cs="Arial" w:eastAsia="Arial" w:hAnsi="Arial"/>
          <w:sz w:val="20"/>
          <w:szCs w:val="20"/>
        </w:rPr>
        <w:t xml:space="preserve">The following exist in the current codebase alongside the canonical system (HC-EMR-047 to HC-EMR-051). They are listed here for engineering awareness and a future consolidation decision, not specified as product features, per the reviewer's recommendation that documenting all four in equal detail would enshrine the confusion rather than resolve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Legacy/Parallel System</w:t>
            </w:r>
          </w:p>
        </w:tc>
        <w:tc>
          <w:tcPr>
            <w:tcW w:type="dxa" w:w="3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Description</w:t>
            </w:r>
          </w:p>
        </w:tc>
        <w:tc>
          <w:tcPr>
            <w:tcW w:type="dxa" w:w="31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Recommendation</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 Templates</w:t>
            </w:r>
          </w:p>
        </w:tc>
        <w:tc>
          <w:tcPr>
            <w:tcW w:type="dxa" w:w="3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 separate, older template list; admin-only creation.</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Migrate content into the canonical Templates system, or formally deprecate.</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Specialty Templates</w:t>
            </w:r>
          </w:p>
        </w:tc>
        <w:tc>
          <w:tcPr>
            <w:tcW w:type="dxa" w:w="3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 third template system with ICD-based template suggestion (suggest-by-ICD-code).</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Evaluate whether ICD-based suggestion should be merged into the canonical system's resolution logic (HC-EMR-050), then retire this system.</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Speciality Forms + Speciality Form Responses + Consultation Notes Save</w:t>
            </w:r>
          </w:p>
        </w:tc>
        <w:tc>
          <w:tcPr>
            <w:tcW w:type="dxa" w:w="3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 dynamic per-specialty form-definition system with its own response storage and a separate notes-save (upsert) action. Note the British spelling ('Speciality') distinguishing it from 'Specialty Templates' above — itself evidence the two were built independently without coordination.</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Assess whether dynamic per-specialty forms are a distinct, still-needed capability (structured data collection beyond free-text SOAP) or should be reimplemented as an extension of the canonical template's structured fields.</w:t>
            </w:r>
          </w:p>
        </w:tc>
      </w:tr>
    </w:tbl>
    <w:p>
      <w:pPr>
        <w:pStyle w:val="Heading2"/>
        <w:spacing w:after="160" w:before="300"/>
      </w:pPr>
      <w:r>
        <w:rPr>
          <w:rFonts w:ascii="Arial" w:cs="Arial" w:eastAsia="Arial" w:hAnsi="Arial"/>
          <w:b/>
          <w:bCs/>
          <w:color w:val="1D9E75"/>
          <w:sz w:val="26"/>
          <w:szCs w:val="26"/>
        </w:rPr>
        <w:t xml:space="preserve">6.2 Feature-to-Inventory Traceability (Part 2)</w:t>
      </w:r>
    </w:p>
    <w:p>
      <w:pPr>
        <w:spacing w:after="100"/>
      </w:pPr>
      <w:r>
        <w:rPr>
          <w:rFonts w:ascii="Arial" w:cs="Arial" w:eastAsia="Arial" w:hAnsi="Arial"/>
          <w:sz w:val="20"/>
          <w:szCs w:val="20"/>
        </w:rPr>
        <w:t xml:space="preserve">HC-EMR-047 to HC-EMR-051 correspond to the canonical portion of inventory Section 10 (Templates); the remaining Section 10 items (Clinical Templates, Specialty Templates, Speciality Forms/Responses, Consultation Notes Save) are not separately numbered — see Appendix 6.1. HC-EMR-052–054 correspond to Section 11 (Consents); 055–059 to Section 12 (Care Plans &amp; Chronic Programmes); 060–066 to Section 13 (Referrals &amp; Second Opinions); 067–068 to Section 14 (Discharge Summaries); 069–072 to Section 15 (Clinical Photos &amp; Voice); 073–075 to Section 17 (Coding Audit &amp; Service Packages); 076–078 to Section 18 (Queue &amp; Departments, including EMR Stats).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2026-07-16T04:14:30.387Z</dcterms:created>
  <dcterms:modified xsi:type="dcterms:W3CDTF">2026-07-16T04:14:30.387Z</dcterms:modified>
</cp:coreProperties>
</file>

<file path=docProps/custom.xml><?xml version="1.0" encoding="utf-8"?>
<Properties xmlns="http://schemas.openxmlformats.org/officeDocument/2006/custom-properties" xmlns:vt="http://schemas.openxmlformats.org/officeDocument/2006/docPropsVTypes"/>
</file>