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HealixCare HMS</w:t>
      </w:r>
    </w:p>
    <w:p>
      <w:pPr>
        <w:spacing w:after="100"/>
      </w:pPr>
      <w:r>
        <w:rPr>
          <w:color w:val="333333"/>
          <w:sz w:val="32"/>
          <w:szCs w:val="32"/>
        </w:rPr>
        <w:t xml:space="preserve">Solution Architecture Document</w:t>
      </w:r>
    </w:p>
    <w:p>
      <w:pPr>
        <w:spacing w:after="400"/>
      </w:pPr>
      <w:r>
        <w:rPr>
          <w:color w:val="808080"/>
          <w:sz w:val="20"/>
          <w:szCs w:val="20"/>
        </w:rPr>
        <w:t xml:space="preserve">Version 1.0  |  Confidential  |  Grounded in backend/ and frontend/ source  |  Document Owner: Engineering / Architecture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Purpose and Audience</w:t>
      </w:r>
    </w:p>
    <w:p>
      <w:pPr>
        <w:spacing w:after="160"/>
      </w:pPr>
      <w:r>
        <w:t xml:space="preserve">This document describes the solution architecture of HealixCare HMS as actually implemented in hospital-management-system/backend and hospital-management-system/frontend. It is written for engineers and architects who need an accurate picture of the running system, not a target-state proposal.</w:t>
      </w:r>
    </w:p>
    <w:p>
      <w:pPr>
        <w:pStyle w:val="Heading1"/>
      </w:pPr>
      <w:r>
        <w:t xml:space="preserve">2. Confirmed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framework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0.128.8 on Uvicorn 0.49.0, Python 3.9+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backend/main.py, UPGRADE_GUIDE.md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16, accessed via raw psycopg2 (no ORM)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backend/database.py, setup_database.py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Alembic, plus an idempotent bootstrap script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backend/alembic/, scripts/bootstrap_db.sh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(python-jose, HS256), bcrypt password hashing, OTP-based 2FA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backend/auth.py, dependencies.py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framework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19.2.7, TypeScript, Vite build, React Router v7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frontend/package.json, src/App.tsx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data layer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Axios + TanStack React Query (polling-based, no WebSockets)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frontend/src/utils/api.ts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jobs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APScheduler, single-process, in-app (backend/scheduler.py)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backend/scheduler.py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flags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Unleash integration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backend/core/feature_flags.py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Architecture Style: Modular Monolith, Mid-Migration</w:t>
      </w:r>
    </w:p>
    <w:p>
      <w:pPr>
        <w:spacing w:after="160"/>
      </w:pPr>
      <w:r>
        <w:t xml:space="preserve">HealixCare HMS is a modular monolith: one FastAPI application, one PostgreSQL database, no microservices, no message bus. The codebase is currently in a deliberate two-structure state: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backend/modules/ (35 packages) — the target structure, each module split into router, service, repository, and schema layers (e.g., modules/emr/, modules/ipd/, modules/billing/).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backend/routers/ (30 files) — the legacy single-file router structure, not yet migrated to modules/, still serving production traffic for some domains (e.g., routers/tpa.py, routers/hr.py, parts of routers/billing.py, payments.py).</w:t>
      </w:r>
    </w:p>
    <w:p>
      <w:pPr>
        <w:spacing w:after="160"/>
      </w:pPr>
      <w:r>
        <w:t xml:space="preserve">This is migration debt, not a design decision to maintain indefinitely — see the migration item in the Feature Backlog. Any new architecture work should target backend/modules/, not add to backend/routers/.</w:t>
      </w:r>
    </w:p>
    <w:p>
      <w:pPr>
        <w:spacing w:after="200" w:before="120"/>
        <w:jc w:val="center"/>
      </w:pPr>
      <w:r>
        <w:drawing>
          <wp:inline distT="0" distB="0" distL="0" distR="0">
            <wp:extent cx="4476750" cy="2162175"/>
            <wp:effectExtent t="0" r="0" b="0" l="0"/>
            <wp:docPr id="1" name="Router structure diagram" descr="Diagram showing legacy routers/ and target modules/ both registering into main.py to form the /api/v1 surface" title="Router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 — Two coexisting backend structures registering into the same API surface.</w:t>
      </w:r>
    </w:p>
    <w:p>
      <w:pPr>
        <w:pStyle w:val="Heading1"/>
      </w:pPr>
      <w:r>
        <w:t xml:space="preserve">4. Major Components (As Built)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Application (Frontend SPA)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React app serving all roles via role-based view switching, not separate apps per role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frontend/src/App.tsx, src/pages/ (41 pages)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Application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app; registers ~30 routers + 35 module routers under /api/v1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backend/main.py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Database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121 tables; system of record for all modules; facility_id scoping on most tables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setup_database.py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Scheduler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In-process APScheduler: appointment reminders, auto-discharge, expiry alerts, OTP/token cleanup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backend/scheduler.py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 Plane (SaaS only)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 provisioning and resolution, gated by SUPERADMIN_KEY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backend/control_plane.py, backend/tenant.py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Assistant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API integration for clinical decision support inside EMR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backend/modules/ai_assistant/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Service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SMS/WhatsApp/in-app/email dispatch with delivery logging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backend/modules/notifications/</w:t>
            </w:r>
          </w:p>
        </w:tc>
      </w:tr>
    </w:tbl>
    <w:p>
      <w:pPr>
        <w:spacing w:after="200"/>
      </w:pPr>
    </w:p>
    <w:p>
      <w:pPr>
        <w:spacing w:after="200" w:before="120"/>
        <w:jc w:val="center"/>
      </w:pPr>
      <w:r>
        <w:drawing>
          <wp:inline distT="0" distB="0" distL="0" distR="0">
            <wp:extent cx="5238750" cy="3238500"/>
            <wp:effectExtent t="0" r="0" b="0" l="0"/>
            <wp:docPr id="1" name="Component diagram" descr="Component diagram: SPA calls FastAPI over HTTPS; FastAPI is sole writer to PostgreSQL; scheduler, control plane, AI assistant and notifications run in-process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2 — Major components and call directions (solid = synchronous request, dashed = in-process call).</w:t>
      </w:r>
    </w:p>
    <w:p>
      <w:pPr>
        <w:pStyle w:val="Heading1"/>
      </w:pPr>
      <w:r>
        <w:t xml:space="preserve">5. Component Interaction</w:t>
      </w:r>
    </w:p>
    <w:p>
      <w:pPr>
        <w:spacing w:after="160"/>
      </w:pPr>
      <w:r>
        <w:t xml:space="preserve">The React SPA calls the FastAPI app exclusively over HTTPS using a versioned REST API (/api/v1, with /api/* redirecting via 307 for backward compatibility). The FastAPI app is the only writer to PostgreSQL — there is no separate write path. Background work (reminders, auto-discharge, expiry checks, OTP cleanup) runs inside the same backend process via APScheduler rather than a separate worker service; this is a single point of execution, with no distributed queue (Celery/Redis evaluated and explicitly not adopted).</w:t>
      </w:r>
    </w:p>
    <w:p>
      <w:pPr>
        <w:pStyle w:val="Heading1"/>
      </w:pPr>
      <w:r>
        <w:t xml:space="preserve">6. Cross-Cutting Concerns (As Implemented)</w:t>
      </w:r>
    </w:p>
    <w:p>
      <w:pPr>
        <w:pStyle w:val="Heading2"/>
      </w:pPr>
      <w:r>
        <w:t xml:space="preserve">6.1 Authentication and Authorization</w:t>
      </w:r>
    </w:p>
    <w:p>
      <w:pPr>
        <w:spacing w:after="160"/>
      </w:pPr>
      <w:r>
        <w:t xml:space="preserve">JWT issued at login (backend/auth.py), validated via HTTPBearer; endpoint-level checks use require_role() or require_permission() against the role_permissions table (see Role Matrix and Permission Catalog) — not just UI-level hiding.</w:t>
      </w:r>
    </w:p>
    <w:p>
      <w:pPr>
        <w:pStyle w:val="Heading2"/>
      </w:pPr>
      <w:r>
        <w:t xml:space="preserve">6.2 Multi-Tenancy</w:t>
      </w:r>
    </w:p>
    <w:p>
      <w:pPr>
        <w:spacing w:after="160"/>
      </w:pPr>
      <w:r>
        <w:t xml:space="preserve">Two deployment modes controlled by the DEPLOYMENT_MODE environment variable, resolved in backend/tenant.py: onpremise (single DATABASE_URL, single tenant) and saas (control_plane.py resolves a per-tenant database from a control-plane registry via the X-Tenant-ID header, cached in-process for TENANT_CACHE_TTL_SECONDS).</w:t>
      </w:r>
    </w:p>
    <w:p>
      <w:pPr>
        <w:pStyle w:val="Heading2"/>
      </w:pPr>
      <w:r>
        <w:t xml:space="preserve">6.3 Auditability</w:t>
      </w:r>
    </w:p>
    <w:p>
      <w:pPr>
        <w:spacing w:after="160"/>
      </w:pPr>
      <w:r>
        <w:t xml:space="preserve">login_audit table records authentication and security events; backend/modules/audit/ provides activity logging and export. See Audit and Logging Design for full detail.</w:t>
      </w:r>
    </w:p>
    <w:p>
      <w:pPr>
        <w:pStyle w:val="Heading2"/>
      </w:pPr>
      <w:r>
        <w:t xml:space="preserve">6.4 PHI Protection</w:t>
      </w:r>
    </w:p>
    <w:p>
      <w:pPr>
        <w:spacing w:after="160"/>
      </w:pPr>
      <w:r>
        <w:t xml:space="preserve">backend/core/phi_encryption.py provides field-level encryption for sensitive data, keyed by PHI_ENCRYPTION_KEY; license enforcement (LICENSE_KEY, LICENSE_EXPIRY) gates startup.</w:t>
      </w:r>
    </w:p>
    <w:p>
      <w:pPr>
        <w:pStyle w:val="Heading1"/>
      </w:pPr>
      <w:r>
        <w:t xml:space="preserve">7. Key Architectural Decisions (Confirmed, Not Proposed)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Evidence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Implication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ORM — raw parameterized SQL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psycopg2 throughout, no SQLAlchemy/Django ORM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changes require direct SQL/Alembic care; higher discipline needed to avoid injection (mitigated by parameterization)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Single-process scheduler, not a distributed queue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backend/scheduler.py uses APScheduler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jobs do not scale horizontally with the API; acceptable at current scale, a constraint at larger scale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Dual router structure during migration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backend/routers/ (30) + backend/modules/ (35)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work should target modules/; routers/ is technical debt, not a pattern to replicate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 mode via environment variable, not per-request override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DEPLOYMENT_MODE in tenant.py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single deployed instance is either onpremise or saas, not both simultaneously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Quality Attributes (As Implemented)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Implementation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Availability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documented multi-instance HA configuration found in docker-compose files; single backend container per environment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Scalability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is stateless and could scale horizontally; the in-process scheduler and in-memory tenant cache would need rework first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+ RBAC + bcrypt + 2FA + PHI encryption + rate limiting (slowapi); see Security and Compliance Architecture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Auditability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login_audit + audit module; not yet a fully separate, tamper-evident audit store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Infrastructure Architecture (Consolidated View)</w:t>
      </w:r>
    </w:p>
    <w:p>
      <w:pPr>
        <w:spacing w:after="160"/>
      </w:pPr>
      <w:r>
        <w:t xml:space="preserve">This is a single, consolidated infrastructure view spanning both deployment modes — for the full per-mode topology (ports, volumes, healthchecks, startup order) see Deployment Architecture for SaaS and On-Premise, Figures 1–2. The diagram below shows the runtime tiers and where the two modes diverge.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3924300"/>
            <wp:effectExtent t="0" r="0" b="0" l="0"/>
            <wp:docPr id="1" name="Infrastructure architecture diagram" descr="Consolidated infrastructure diagram across four tiers: client, edge/web (nginx), application (FastAPI backend), and data, with on-premise vs SaaS divergence called out at the application-to-data boundary" title="Infrastructure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3 — Consolidated infrastructure architecture: four runtime tiers, with on-premise and SaaS divergence shown at the data tier.</w:t>
      </w:r>
    </w:p>
    <w:p>
      <w:pPr>
        <w:pStyle w:val="Heading1"/>
      </w:pPr>
      <w:r>
        <w:t xml:space="preserve">10. Application Architecture — Current State and Migration Plan</w:t>
      </w:r>
    </w:p>
    <w:p>
      <w:pPr>
        <w:spacing w:after="160"/>
      </w:pPr>
      <w:r>
        <w:t xml:space="preserve">This shows the current state of the dual router/module backend structure (Section 3) as a migration-in-progress, not a permanent design — the destination state is 100% backend/modules/. Sequencing detail lives in the Feature Backlog (Technical Debt section) and the HMS Scope and Module Roadmap; this diagram exists to make the plan visible at the architecture level.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Application architecture migration plan" descr="Migration plan diagram: current state has 30 legacy routers and 35 modules; Phase 2 migrates high-traffic routers such as billing, pharmacy and lab; Enterprise phase completes the migration to a modules-only target state" title="Application architecture migration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4 — Application architecture migration plan: legacy routers/ are retired into the modules/ structure across Phase 2 and Enterprise.</w:t>
      </w:r>
    </w:p>
    <w:p>
      <w:pPr>
        <w:pStyle w:val="Heading1"/>
      </w:pPr>
      <w:r>
        <w:t xml:space="preserve">11. Relationship to Other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 Architecture Document — expands the routers/ vs modules/ structure and the three-layer (router/service/repository) pattern in modules/.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Architecture Document — expands Razorpay, TPA, ABHA, AI Assistant, and notification integrations.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and Compliance Architecture — expands JWT/2FA, PHI encryption, license enforcement.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 Architecture for SaaS and On-Premise — expands docker-compose.yml vs docker-compose.saas.yml, and the per-mode topology referenced in Figure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Architecture and Master Data Strategy — expands the 121-table schema and facility scoping.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HMS Scope and Module Roadmap and Feature Backlog with Priority — own the actual sequencing/timeline behind the migration plan in Figure 4.</w:t>
      </w:r>
    </w:p>
    <w:p>
      <w:pPr>
        <w:pStyle w:val="Heading1"/>
      </w:pPr>
      <w:r>
        <w:t xml:space="preserve">12.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Owner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Engineering / Architecture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v1.0 — grounded in codebase as of 2026-06-24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 Matrix and Permission Catalog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Architecture Document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HealixCare HMS — Solution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0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2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9ccd6cec9a9e53d5023a3306867f3d9e7ba939.svg"/><Relationship Id="rId10" Type="http://schemas.openxmlformats.org/officeDocument/2006/relationships/image" Target="media/c37ec009b672327755b7d7b5e7dde47b278c402c.png"/><Relationship Id="rId11" Type="http://schemas.openxmlformats.org/officeDocument/2006/relationships/image" Target="media/f072632b4ffa4a6d8180d4f17104486491d18c47.svg"/><Relationship Id="rId12" Type="http://schemas.openxmlformats.org/officeDocument/2006/relationships/image" Target="media/2c8097e2bd35cf44bf4263192bdc2201615148e3.png"/><Relationship Id="rId13" Type="http://schemas.openxmlformats.org/officeDocument/2006/relationships/image" Target="media/f62dd7e6bbdc1d13c0b82af912c568d1839c6248.svg"/><Relationship Id="rId14" Type="http://schemas.openxmlformats.org/officeDocument/2006/relationships/image" Target="media/0759748ec2ca35023e76d88182bc2e59e731878a.png"/><Relationship Id="rId15" Type="http://schemas.openxmlformats.org/officeDocument/2006/relationships/image" Target="media/7de0c8a02b8d024d1544942e74f90618a16500ee.svg"/><Relationship Id="rId16" Type="http://schemas.openxmlformats.org/officeDocument/2006/relationships/image" Target="media/9e8c4e809b5d0dc2be8d93fea054efef5f3fc0f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2026-06-24T07:01:47.351Z</dcterms:created>
  <dcterms:modified xsi:type="dcterms:W3CDTF">2026-06-24T07:01:47.352Z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