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HealixCare HMS</w:t>
      </w:r>
    </w:p>
    <w:p>
      <w:pPr>
        <w:spacing w:after="100"/>
      </w:pPr>
      <w:r>
        <w:rPr>
          <w:color w:val="333333"/>
          <w:sz w:val="32"/>
          <w:szCs w:val="32"/>
        </w:rPr>
        <w:t xml:space="preserve">Billing and Payment Workflow</w:t>
      </w:r>
    </w:p>
    <w:p>
      <w:pPr>
        <w:spacing w:after="400"/>
      </w:pPr>
      <w:r>
        <w:rPr>
          <w:color w:val="808080"/>
          <w:sz w:val="20"/>
          <w:szCs w:val="20"/>
        </w:rPr>
        <w:t xml:space="preserve">Version 1.0  |  Confidential  |  Grounded in backend/ and frontend/ source  |  Document Owner: Product Management / Clinical Operations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1. Purpose</w:t>
      </w:r>
    </w:p>
    <w:p>
      <w:pPr>
        <w:spacing w:after="160"/>
      </w:pPr>
      <w:r>
        <w:t xml:space="preserve">This document describes the Billing and Payment workflow implemented in backend/modules/billing/, backend/routers/billing.py, and backend/routers/payments.py (Razorpay), plus frontend Billing.tsx.</w:t>
      </w:r>
    </w:p>
    <w:p>
      <w:pPr>
        <w:pStyle w:val="Heading1"/>
      </w:pPr>
      <w:r>
        <w:t xml:space="preserve">2. Billing and Payment Flow Diagram (Full Detail)</w:t>
      </w:r>
    </w:p>
    <w:p>
      <w:pPr>
        <w:spacing w:after="160"/>
      </w:pPr>
      <w:r>
        <w:t xml:space="preserve">This diagram expands charge capture into its actual sources, shows the Razorpay two-path confirmation (synchronous verify plus an independent webhook) explicitly, and separates the insurance branch's hand-off into the dedicated Insurance/TPA workflow.</w:t>
      </w:r>
    </w:p>
    <w:p>
      <w:pPr>
        <w:spacing w:after="200" w:before="120"/>
        <w:jc w:val="center"/>
      </w:pPr>
      <w:r>
        <w:drawing>
          <wp:inline distT="0" distB="0" distL="0" distR="0">
            <wp:extent cx="6286500" cy="5600700"/>
            <wp:effectExtent t="0" r="0" b="0" l="0"/>
            <wp:docPr id="1" name="Billing and payment workflow diagram, full detail" descr="Detailed billing flow: charge capture aggregated from OPD/IPD, Lab/Radiology, Pharmacy and OT, invoice creation, settlement method selection across cash, Razorpay (with separate synchronous verify and asynchronous webhook steps), and insurance/TPA, ending in a paid status and PDF invoice" title="Billing and payment workflow diagram, full 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 — Billing flow, full detail: charge aggregation, invoice creation, and the three settlement paths with Razorpay's two-step confirmation shown explicitly.</w:t>
      </w:r>
    </w:p>
    <w:p>
      <w:pPr>
        <w:pStyle w:val="Heading1"/>
      </w:pPr>
      <w:r>
        <w:t xml:space="preserve">3. Step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Endpoint(s)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Tables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Charge capture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Charges sourced from OPD/IPD/Lab/Radiology/Pharmacy actions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bill_items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 creation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/api/v1/billing/create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bills, bill_items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 listing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/api/v1/billing/all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bills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Cash/manual payment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 /api/v1/billing/{bill_id}/payment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bills.payment_status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Razorpay order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/api/v1/payments/create-order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payment_orders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Razorpay verify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/api/v1/payments/verify (HMAC-SHA256 check)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Razorpay webhook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Async confirmation, logged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webhook_log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 PDF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/api/v1/billing/{bill_id}/pdf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Generated via reportlab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Billing summary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/api/v1/billing/summary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Aggregate for dashboards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history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/api/v1/payments/history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Roles Involved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billing-permissioned role / receptionist: invoice creation, payment recording.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admin: refund/discount/waiver approval — see Section 9 gap note in Role Matrix (no distinct approve-only permission level).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Patient Portal: bill viewing and online payment.</w:t>
      </w:r>
    </w:p>
    <w:p>
      <w:pPr>
        <w:pStyle w:val="Heading1"/>
      </w:pPr>
      <w:r>
        <w:t xml:space="preserve">5. Known Gaps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automated billing rules/bundle pricing engine — bills are manually itemized line by line, with no "standard discharge bundle" auto-billing confirmed.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Discount/waiver approval is governed by can_edit on billing for whichever role has it, not a distinct approval permission level — see Role Matrix, Section 9.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multi-currency support confirmed — billing appears to assume a single currency/GST model.</w:t>
      </w:r>
    </w:p>
    <w:p>
      <w:pPr>
        <w:pStyle w:val="Heading1"/>
      </w:pPr>
      <w:r>
        <w:t xml:space="preserve">6. Relationship to Other Documents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Builds on: End-to-End Patient Journey, OPD/IPD/Lab/Radiology/Pharmacy Workflows (charge sources).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Feeds into: Insurance/TPA Workflow (claims path).</w:t>
      </w:r>
    </w:p>
    <w:p>
      <w:pPr>
        <w:pStyle w:val="Heading1"/>
      </w:pPr>
      <w:r>
        <w:t xml:space="preserve">7.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Owner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Finance / Billing Operations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v1.0 — grounded in backend/modules/billing/, routers/billing.py, payments.py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Previous Document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Pharmacy Workflow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 Document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Insurance/TPA Workflow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HealixCare HMS — Billing and Payment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1200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2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9323240f5e8010947f48e748bbe3f157af66085.svg"/><Relationship Id="rId10" Type="http://schemas.openxmlformats.org/officeDocument/2006/relationships/image" Target="media/c47b9bfc92c43595dea849652d6bbb7efa81758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2026-06-24T07:40:30.495Z</dcterms:created>
  <dcterms:modified xsi:type="dcterms:W3CDTF">2026-06-24T07:40:30.495Z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