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IPD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details the Inpatient Department (IPD) workflow implemented in backend/modules/ipd/ and backend/routers/ipd.py (15+ endpoints), and the frontend IPDManagement.tsx.</w:t>
      </w:r>
    </w:p>
    <w:p>
      <w:pPr>
        <w:pStyle w:val="Heading1"/>
      </w:pPr>
      <w:r>
        <w:t xml:space="preserve">2. IPD Flow Diagram (Full Detail)</w:t>
      </w:r>
    </w:p>
    <w:p>
      <w:pPr>
        <w:spacing w:after="160"/>
      </w:pPr>
      <w:r>
        <w:t xml:space="preserve">This diagram expands the IPD workflow into five phases: admission source, bed assignment, the daily nursing-care loop, optional transfer, and discharge — each box citing its real endpoint or table.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7458075"/>
            <wp:effectExtent t="0" r="0" b="0" l="0"/>
            <wp:docPr id="1" name="IPD workflow diagram, full detail" descr="Detailed IPD flow across five phases: admission source (OPD conversion or direct/emergency), ward/bed assignment, a repeating daily nursing-care loop with vitals/medication/notes/doctor rounds, optional transfer, and discharge with PDF summary generation" title="IPD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IPD flow, full detail: admission source, bed assignment, the repeating nursing-care loop, optional transfer, and discharge.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Tables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OPD-to-IPD conversion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/api/v1/ipd/convert-opd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admissions, appointments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Direct/Emergency admission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/api/v1/ipd/admissions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admissions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Ward/bed setup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 /api/v1/ipd/wards, /beds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wards, rooms, beds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Bed status update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/api/v1/ipd/beds/{bed_id}/status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beds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Nursing vitals/MAR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/api/v1/emr/vitals (shared with OPD)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vitals, clinical_notes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/api/v1/ipd/transfer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beds, admissions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Discharge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/api/v1/ipd/admissions/{admission_id}/discharge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admissions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Discharge summary PDF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/api/v1/ipd/admissions/{admission_id}/discharge-summary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via reportlab, not a stored table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Auto-discharge job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backend/scheduler.py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scheduled job exists for completed admissions; exact trigger condition should be verified before citing in a customer-facing SLA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doctor: admission decision, clinical orders, discharge sign-off.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nurse-equivalent staff: vitals/MAR entry — note Section 8 of the Role Matrix flags that there is no dedicated seeded "nurse" role; this is handled via a custom role with EMR view/edit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receptionist: bed/ward administrative entry, admission paperwork.</w:t>
      </w:r>
    </w:p>
    <w:p>
      <w:pPr>
        <w:pStyle w:val="Heading1"/>
      </w:pPr>
      <w:r>
        <w:t xml:space="preserve">5.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bed-turnaround/housekeeping status tracking confirmed beyond the basic bed status field.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predictive bed-demand forecasting — bed occupancy is reported, not forecast.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OPD Workflow (conversion source).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Billing and Payment Workflow (IPD charges), Pharmacy Workflow (inpatient dispensing).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backend/modules/ipd/, routers/ipd.py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OPD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IPD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d84bb1a16fa7eaa72e091a8c227db8de615e98.svg"/><Relationship Id="rId10" Type="http://schemas.openxmlformats.org/officeDocument/2006/relationships/image" Target="media/e5b727fd17f731f9266dcf123a8447379718d37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2026-06-24T07:33:45.632Z</dcterms:created>
  <dcterms:modified xsi:type="dcterms:W3CDTF">2026-06-24T07:33:45.632Z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