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HealixCare HMS</w:t>
      </w:r>
    </w:p>
    <w:p>
      <w:pPr>
        <w:spacing w:after="100"/>
      </w:pPr>
      <w:r>
        <w:rPr>
          <w:color w:val="333333"/>
          <w:sz w:val="32"/>
          <w:szCs w:val="32"/>
        </w:rPr>
        <w:t xml:space="preserve">Pharmacy Workflow</w:t>
      </w:r>
    </w:p>
    <w:p>
      <w:pPr>
        <w:spacing w:after="400"/>
      </w:pPr>
      <w:r>
        <w:rPr>
          <w:color w:val="808080"/>
          <w:sz w:val="20"/>
          <w:szCs w:val="20"/>
        </w:rPr>
        <w:t xml:space="preserve">Version 1.0  |  Confidential  |  Grounded in backend/ and frontend/ source  |  Document Owner: Product Management / Clinical Operations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1. Purpose</w:t>
      </w:r>
    </w:p>
    <w:p>
      <w:pPr>
        <w:spacing w:after="160"/>
      </w:pPr>
      <w:r>
        <w:t xml:space="preserve">This document describes the Pharmacy workflow implemented in backend/modules/pharmacy/ and backend/routers/pharmacy.py, and frontend Pharmacy.tsx.</w:t>
      </w:r>
    </w:p>
    <w:p>
      <w:pPr>
        <w:pStyle w:val="Heading1"/>
      </w:pPr>
      <w:r>
        <w:t xml:space="preserve">2. Pharmacy Flow Diagram (Full Detail)</w:t>
      </w:r>
    </w:p>
    <w:p>
      <w:pPr>
        <w:spacing w:after="160"/>
      </w:pPr>
      <w:r>
        <w:t xml:space="preserve">This diagram expands the e-prescription-to-dispensing flow to show where drug-interaction checking actually happens (at prescribing, in EMR — not re-checked at dispensing), the branch for narcotics/cold-chain items, and the manual nature of the reorder path.</w:t>
      </w:r>
    </w:p>
    <w:p>
      <w:pPr>
        <w:spacing w:after="200" w:before="120"/>
        <w:jc w:val="center"/>
      </w:pPr>
      <w:r>
        <w:drawing>
          <wp:inline distT="0" distB="0" distL="0" distR="0">
            <wp:extent cx="6286500" cy="5095875"/>
            <wp:effectExtent t="0" r="0" b="0" l="0"/>
            <wp:docPr id="1" name="Pharmacy workflow diagram, full detail" descr="Detailed pharmacy flow: prescribing and interaction check in EMR, intake and stock-availability check, dispense or manual reorder alert path, specialized narcotic/cold-chain tracking, and final stock update with audit logging" title="Pharmacy workflow diagram, full 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 — Pharmacy flow, full detail, showing where interaction checking actually occurs and the manual (not automated) reorder path.</w:t>
      </w:r>
    </w:p>
    <w:p>
      <w:pPr>
        <w:pStyle w:val="Heading1"/>
      </w:pPr>
      <w:r>
        <w:t xml:space="preserve">3. Step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Endpoint(s) / Tables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Drug catalog (master)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GET/POST /api/v1/pharmacy/drugs/add, /all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drugs table — catalog, distinct from stock movement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E-prescription intake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 via EMR prescriptions, read by Pharmacy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prescriptions table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Drug interaction check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/api/v1/emr/drugs/check-interaction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Runs at prescribing time in EMR, not at dispensing time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Stock update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 /api/v1/pharmacy/drugs/{drug_id}/stock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stock adjustment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Dispensing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/api/v1/pharmacy/dispense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dispensing table; deducts from drugs/drug_batches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Returns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pharmacy_returns table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Confirmed table exists for return handling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Narcotic tracking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narcotic_register table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Separate register for controlled substances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Cold-chain tracking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cold_chain_log table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 vaccine/temperature-sensitive stock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Dispensing history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/api/v1/pharmacy/dispensing/history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trail of dispensing events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Roles Involved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pharmacist: dispensing, stock management (can_view/can_create/can_edit on pharmacy).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doctor: prescribing only — no dispensing access (V-only on pharmacy per Role Matrix indicative defaults).</w:t>
      </w:r>
    </w:p>
    <w:p>
      <w:pPr>
        <w:pStyle w:val="Heading1"/>
      </w:pPr>
      <w:r>
        <w:t xml:space="preserve">5. Known Gaps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automated low-stock reorder threshold — alerts are shown in UI from the expiry_date/stock fields, but no scheduled job auto-generates a reorder action (see Feature Backlog Phase 2 item).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barcode scanning or automated dispensing machine integration.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Drug interaction checking happens at prescribing time (EMR), not re-verified at the dispensing step — a pharmacist dispensing a prescription written elsewhere does not get a second automatic interaction check confirmed in code.</w:t>
      </w:r>
    </w:p>
    <w:p>
      <w:pPr>
        <w:pStyle w:val="Heading1"/>
      </w:pPr>
      <w:r>
        <w:t xml:space="preserve">6. Relationship to Other Documents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Builds on: End-to-End Patient Journey, OPD/IPD Workflow (prescription origin).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Feeds into: Inventory and Procurement Workflow (stock replenishment), Billing and Payment Workflow (pharmacy charges).</w:t>
      </w:r>
    </w:p>
    <w:p>
      <w:pPr>
        <w:pStyle w:val="Heading1"/>
      </w:pPr>
      <w:r>
        <w:t xml:space="preserve">7.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Owner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Clinical Operations / Pharmacy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v1.0 — grounded in backend/modules/pharmacy/, routers/pharmacy.py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Previous Document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Radiology Workflow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 Document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Billing and Payment Workflow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HealixCare HMS — Pharmacy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1200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2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fd1006bbddd683cfff8fea6bb8124aca4801f5c.svg"/><Relationship Id="rId10" Type="http://schemas.openxmlformats.org/officeDocument/2006/relationships/image" Target="media/43eaaf175e876f9da1db021d13a665ff5b0cca9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2026-06-24T07:39:25.594Z</dcterms:created>
  <dcterms:modified xsi:type="dcterms:W3CDTF">2026-06-24T07:39:25.594Z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