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06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SD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Implement an application to write the Register Number, Name and CGPA to the SD card in text file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(e.g.,"SD Card")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storage permissions in the manifest file.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file input/output streams in MainActivity.kt to read from and write to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SD card or internal storage.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="@style/Theme.SdCard"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="SD Card"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="@+id/editTextRegisterNumber"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register number..."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="@+id/editTextName"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name..."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="@+id/editTextCGPA"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CGPA..."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="numberDecimal"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="@+id/buttonSave"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="Save"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="@+id/buttonLoad"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="Load"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8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com.example.sdcard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AppCompatActivity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buttonSave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buttonLoad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storage permissions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requestStoragePermission()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listeners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saveDataToSD()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loadDataFromSD()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requestStoragePermission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READ_EXTERNAL_STORAGE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saveDataToSD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Validate inputs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multiple storage options for emulator compatibility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1: Using app-specific external storage (works on most emulators)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2: Using legacy external storage as fallback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Create file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FileOutputStream(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"Register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toByteArray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.close()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saved successfully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saving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saving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loadDataFromSD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a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to find the file in multiple storage locations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findDataFile(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data found for this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Parse the data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"CGPA:"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loaded successfully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loading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findDataFile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app-specific external storage first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legacy external storage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Ignore and continue to other options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cache directory as last resort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null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for read and write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to at least read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isExternalStorageReadable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MEDIA_MOUNTED_READ_ONLY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granted"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4063" cy="449149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49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0342" cy="449249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449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SD Card Access application successfully reads and writes data to the SD card or internal storage when tested on a mobile device with appropriate permissions.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7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