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72E" w:rsidRDefault="00286081">
      <w:pPr>
        <w:spacing w:after="100"/>
      </w:pPr>
      <w:r>
        <w:rPr>
          <w:b/>
          <w:bCs/>
          <w:sz w:val="44"/>
          <w:szCs w:val="44"/>
        </w:rPr>
        <w:t>Product Analytics Memo</w:t>
      </w:r>
    </w:p>
    <w:p w:rsidR="0028772E" w:rsidRDefault="00286081">
      <w:pPr>
        <w:spacing w:after="200"/>
      </w:pPr>
      <w:r>
        <w:rPr>
          <w:color w:val="444444"/>
          <w:sz w:val="28"/>
          <w:szCs w:val="28"/>
        </w:rPr>
        <w:t>E-commerce Funnel, Retention &amp; Checkout Experiment</w:t>
      </w:r>
    </w:p>
    <w:p w:rsidR="0028772E" w:rsidRDefault="00286081">
      <w:pPr>
        <w:spacing w:after="150"/>
      </w:pPr>
      <w:r>
        <w:t xml:space="preserve">Prepared by: </w:t>
      </w:r>
      <w:proofErr w:type="spellStart"/>
      <w:r>
        <w:t>Santhosh</w:t>
      </w:r>
      <w:proofErr w:type="spellEnd"/>
      <w:r>
        <w:t xml:space="preserve"> K M </w:t>
      </w:r>
      <w:bookmarkStart w:id="0" w:name="_GoBack"/>
      <w:bookmarkEnd w:id="0"/>
    </w:p>
    <w:p w:rsidR="0028772E" w:rsidRDefault="00286081">
      <w:pPr>
        <w:spacing w:after="150"/>
      </w:pPr>
      <w:r>
        <w:t xml:space="preserve">Data source: Google Analytics Sample Dataset (Google Merchandise Store), </w:t>
      </w:r>
      <w:proofErr w:type="spellStart"/>
      <w:r>
        <w:t>BigQuery</w:t>
      </w:r>
      <w:proofErr w:type="spellEnd"/>
      <w:r>
        <w:t xml:space="preserve"> Public Data</w:t>
      </w:r>
    </w:p>
    <w:p w:rsidR="0028772E" w:rsidRDefault="00286081">
      <w:pPr>
        <w:spacing w:after="150"/>
      </w:pPr>
      <w:r>
        <w:t xml:space="preserve">Period </w:t>
      </w:r>
      <w:proofErr w:type="spellStart"/>
      <w:r>
        <w:t>analyzed</w:t>
      </w:r>
      <w:proofErr w:type="spellEnd"/>
      <w:r>
        <w:t>: January 2017 – June 2017</w:t>
      </w:r>
    </w:p>
    <w:p w:rsidR="0028772E" w:rsidRDefault="00286081">
      <w:pPr>
        <w:spacing w:after="150"/>
      </w:pPr>
      <w:r>
        <w:t>Tools used: SQL (</w:t>
      </w:r>
      <w:proofErr w:type="spellStart"/>
      <w:r>
        <w:t>BigQuery</w:t>
      </w:r>
      <w:proofErr w:type="spellEnd"/>
      <w:r>
        <w:t>), Amplitude, Tableau</w:t>
      </w:r>
    </w:p>
    <w:p w:rsidR="0028772E" w:rsidRDefault="0028772E">
      <w:pPr>
        <w:pBdr>
          <w:bottom w:val="single" w:sz="6" w:space="0" w:color="AAAAAA"/>
        </w:pBdr>
        <w:spacing w:before="200" w:after="200"/>
      </w:pPr>
    </w:p>
    <w:p w:rsidR="0028772E" w:rsidRDefault="00286081">
      <w:pPr>
        <w:pStyle w:val="Heading1"/>
        <w:spacing w:before="300" w:after="150"/>
      </w:pPr>
      <w:r>
        <w:t>1. Executive Summary</w:t>
      </w:r>
    </w:p>
    <w:p w:rsidR="0028772E" w:rsidRDefault="00286081">
      <w:pPr>
        <w:spacing w:after="150"/>
      </w:pPr>
      <w:r>
        <w:t>This analysis examined the full purchase funnel, user retention, and a proposed checkout improvement for an e-commerce site. Three findings stand out: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t xml:space="preserve">The biggest drop-off happens before </w:t>
      </w:r>
      <w:r>
        <w:t xml:space="preserve">users even engage — </w:t>
      </w:r>
      <w:r>
        <w:rPr>
          <w:b/>
          <w:bCs/>
        </w:rPr>
        <w:t>only 14% of sessions include a product view, and of those, 79% never convert to a purchase after adding to cart.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t xml:space="preserve">Mobile users convert at less than a third the rate of desktop users </w:t>
      </w:r>
      <w:r>
        <w:rPr>
          <w:b/>
          <w:bCs/>
        </w:rPr>
        <w:t>(0.40% vs. 1.41%)</w:t>
      </w:r>
      <w:r>
        <w:t>, despite mobile representing 28% of t</w:t>
      </w:r>
      <w:r>
        <w:t>otal traffic.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t xml:space="preserve">Retention is weak beyond the first month — </w:t>
      </w:r>
      <w:r>
        <w:rPr>
          <w:b/>
          <w:bCs/>
        </w:rPr>
        <w:t>only 4.1% of January's new visitors returned in February</w:t>
      </w:r>
      <w:r>
        <w:t>, declining further each subsequent month.</w:t>
      </w:r>
    </w:p>
    <w:p w:rsidR="0028772E" w:rsidRDefault="00286081">
      <w:pPr>
        <w:spacing w:after="150"/>
      </w:pPr>
      <w:r>
        <w:t>We simulated an A/B test on a proposed mobile checkout redesign. The result was directionally positi</w:t>
      </w:r>
      <w:r>
        <w:t xml:space="preserve">ve but </w:t>
      </w:r>
      <w:r>
        <w:rPr>
          <w:b/>
          <w:bCs/>
        </w:rPr>
        <w:t>not statistically significant (p = 0.133)</w:t>
      </w:r>
      <w:r>
        <w:t xml:space="preserve"> — we recommend extending the test before making a ship decision, rather than acting on the early signal.</w:t>
      </w:r>
    </w:p>
    <w:p w:rsidR="0028772E" w:rsidRDefault="00286081">
      <w:pPr>
        <w:pStyle w:val="Heading1"/>
        <w:spacing w:before="300" w:after="150"/>
      </w:pPr>
      <w:r>
        <w:t>2. Funnel Analysis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60"/>
        <w:gridCol w:w="1560"/>
        <w:gridCol w:w="3640"/>
      </w:tblGrid>
      <w:tr w:rsidR="0028772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56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Sessions</w:t>
            </w:r>
          </w:p>
        </w:tc>
        <w:tc>
          <w:tcPr>
            <w:tcW w:w="156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% of Total</w:t>
            </w:r>
          </w:p>
        </w:tc>
        <w:tc>
          <w:tcPr>
            <w:tcW w:w="364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Drop-off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8772E" w:rsidRDefault="00286081">
            <w:r>
              <w:t>Total sessions</w:t>
            </w:r>
          </w:p>
        </w:tc>
        <w:tc>
          <w:tcPr>
            <w:tcW w:w="1560" w:type="dxa"/>
          </w:tcPr>
          <w:p w:rsidR="0028772E" w:rsidRDefault="00286081">
            <w:r>
              <w:t>64,694</w:t>
            </w:r>
          </w:p>
        </w:tc>
        <w:tc>
          <w:tcPr>
            <w:tcW w:w="1560" w:type="dxa"/>
          </w:tcPr>
          <w:p w:rsidR="0028772E" w:rsidRDefault="00286081">
            <w:r>
              <w:t>100%</w:t>
            </w:r>
          </w:p>
        </w:tc>
        <w:tc>
          <w:tcPr>
            <w:tcW w:w="3640" w:type="dxa"/>
          </w:tcPr>
          <w:p w:rsidR="0028772E" w:rsidRDefault="00286081">
            <w:r>
              <w:t>—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EDED"/>
          </w:tcPr>
          <w:p w:rsidR="0028772E" w:rsidRDefault="00286081">
            <w:r>
              <w:t>Product views</w:t>
            </w:r>
          </w:p>
        </w:tc>
        <w:tc>
          <w:tcPr>
            <w:tcW w:w="1560" w:type="dxa"/>
            <w:shd w:val="clear" w:color="auto" w:fill="EDEDED"/>
          </w:tcPr>
          <w:p w:rsidR="0028772E" w:rsidRDefault="00286081">
            <w:r>
              <w:t>9,211</w:t>
            </w:r>
          </w:p>
        </w:tc>
        <w:tc>
          <w:tcPr>
            <w:tcW w:w="1560" w:type="dxa"/>
            <w:shd w:val="clear" w:color="auto" w:fill="EDEDED"/>
          </w:tcPr>
          <w:p w:rsidR="0028772E" w:rsidRDefault="00286081">
            <w:r>
              <w:t>14.2%</w:t>
            </w:r>
          </w:p>
        </w:tc>
        <w:tc>
          <w:tcPr>
            <w:tcW w:w="3640" w:type="dxa"/>
            <w:shd w:val="clear" w:color="auto" w:fill="EDEDED"/>
          </w:tcPr>
          <w:p w:rsidR="0028772E" w:rsidRDefault="00286081">
            <w:r>
              <w:t>85.8% never view a product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28772E" w:rsidRDefault="00286081">
            <w:r>
              <w:t>Add to cart</w:t>
            </w:r>
          </w:p>
        </w:tc>
        <w:tc>
          <w:tcPr>
            <w:tcW w:w="1560" w:type="dxa"/>
          </w:tcPr>
          <w:p w:rsidR="0028772E" w:rsidRDefault="00286081">
            <w:r>
              <w:t>3,386</w:t>
            </w:r>
          </w:p>
        </w:tc>
        <w:tc>
          <w:tcPr>
            <w:tcW w:w="1560" w:type="dxa"/>
          </w:tcPr>
          <w:p w:rsidR="0028772E" w:rsidRDefault="00286081">
            <w:r>
              <w:t>5.2%</w:t>
            </w:r>
          </w:p>
        </w:tc>
        <w:tc>
          <w:tcPr>
            <w:tcW w:w="3640" w:type="dxa"/>
          </w:tcPr>
          <w:p w:rsidR="0028772E" w:rsidRDefault="00286081">
            <w:r>
              <w:t>63.2% of viewers don't add to cart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EDED"/>
          </w:tcPr>
          <w:p w:rsidR="0028772E" w:rsidRDefault="00286081">
            <w:r>
              <w:t>Purchase</w:t>
            </w:r>
          </w:p>
        </w:tc>
        <w:tc>
          <w:tcPr>
            <w:tcW w:w="1560" w:type="dxa"/>
            <w:shd w:val="clear" w:color="auto" w:fill="EDEDED"/>
          </w:tcPr>
          <w:p w:rsidR="0028772E" w:rsidRDefault="00286081">
            <w:r>
              <w:t>697</w:t>
            </w:r>
          </w:p>
        </w:tc>
        <w:tc>
          <w:tcPr>
            <w:tcW w:w="1560" w:type="dxa"/>
            <w:shd w:val="clear" w:color="auto" w:fill="EDEDED"/>
          </w:tcPr>
          <w:p w:rsidR="0028772E" w:rsidRDefault="00286081">
            <w:r>
              <w:t>1.1%</w:t>
            </w:r>
          </w:p>
        </w:tc>
        <w:tc>
          <w:tcPr>
            <w:tcW w:w="3640" w:type="dxa"/>
            <w:shd w:val="clear" w:color="auto" w:fill="EDEDED"/>
          </w:tcPr>
          <w:p w:rsidR="0028772E" w:rsidRDefault="00286081">
            <w:r>
              <w:t>79.4% of cart-adders don't purchase</w:t>
            </w:r>
          </w:p>
        </w:tc>
      </w:tr>
    </w:tbl>
    <w:p w:rsidR="0028772E" w:rsidRDefault="0028772E">
      <w:pPr>
        <w:spacing w:after="150"/>
      </w:pPr>
    </w:p>
    <w:p w:rsidR="0028772E" w:rsidRDefault="00286081">
      <w:pPr>
        <w:spacing w:after="150"/>
      </w:pPr>
      <w:r>
        <w:rPr>
          <w:b/>
          <w:bCs/>
        </w:rPr>
        <w:t xml:space="preserve">Takeaway: </w:t>
      </w:r>
      <w:r>
        <w:t xml:space="preserve">while checkout abandonment (79%) looks like the most dramatic single number, </w:t>
      </w:r>
      <w:r>
        <w:rPr>
          <w:b/>
          <w:bCs/>
        </w:rPr>
        <w:t>the largest absolute loss of users happens at the very top</w:t>
      </w:r>
      <w:r>
        <w:t xml:space="preserve"> — most visitors never engage with a product at all. Both the top-of-funnel engagement problem and checkout friction deserve attention, but they require different fixes (content/discovery vs. checko</w:t>
      </w:r>
      <w:r>
        <w:t>ut UX).</w:t>
      </w:r>
    </w:p>
    <w:p w:rsidR="0028772E" w:rsidRDefault="00286081">
      <w:pPr>
        <w:pStyle w:val="Heading2"/>
        <w:spacing w:before="300" w:after="150"/>
      </w:pPr>
      <w:r>
        <w:t>2.1 Breakdown by Device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8772E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234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Sessions</w:t>
            </w:r>
          </w:p>
        </w:tc>
        <w:tc>
          <w:tcPr>
            <w:tcW w:w="234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Purchases</w:t>
            </w:r>
          </w:p>
        </w:tc>
        <w:tc>
          <w:tcPr>
            <w:tcW w:w="234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Conversion Rate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:rsidR="0028772E" w:rsidRDefault="00286081">
            <w:r>
              <w:t>Desktop</w:t>
            </w:r>
          </w:p>
        </w:tc>
        <w:tc>
          <w:tcPr>
            <w:tcW w:w="2340" w:type="dxa"/>
          </w:tcPr>
          <w:p w:rsidR="0028772E" w:rsidRDefault="00286081">
            <w:r>
              <w:t>43,571</w:t>
            </w:r>
          </w:p>
        </w:tc>
        <w:tc>
          <w:tcPr>
            <w:tcW w:w="2340" w:type="dxa"/>
          </w:tcPr>
          <w:p w:rsidR="0028772E" w:rsidRDefault="00286081">
            <w:r>
              <w:t>614</w:t>
            </w:r>
          </w:p>
        </w:tc>
        <w:tc>
          <w:tcPr>
            <w:tcW w:w="2340" w:type="dxa"/>
          </w:tcPr>
          <w:p w:rsidR="0028772E" w:rsidRDefault="00286081">
            <w:r>
              <w:t>1.41%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DEDED"/>
          </w:tcPr>
          <w:p w:rsidR="0028772E" w:rsidRDefault="00286081">
            <w:r>
              <w:t>Mobile</w:t>
            </w:r>
          </w:p>
        </w:tc>
        <w:tc>
          <w:tcPr>
            <w:tcW w:w="2340" w:type="dxa"/>
            <w:shd w:val="clear" w:color="auto" w:fill="EDEDED"/>
          </w:tcPr>
          <w:p w:rsidR="0028772E" w:rsidRDefault="00286081">
            <w:r>
              <w:t>18,323</w:t>
            </w:r>
          </w:p>
        </w:tc>
        <w:tc>
          <w:tcPr>
            <w:tcW w:w="2340" w:type="dxa"/>
            <w:shd w:val="clear" w:color="auto" w:fill="EDEDED"/>
          </w:tcPr>
          <w:p w:rsidR="0028772E" w:rsidRDefault="00286081">
            <w:r>
              <w:t>74</w:t>
            </w:r>
          </w:p>
        </w:tc>
        <w:tc>
          <w:tcPr>
            <w:tcW w:w="2340" w:type="dxa"/>
            <w:shd w:val="clear" w:color="auto" w:fill="EDEDED"/>
          </w:tcPr>
          <w:p w:rsidR="0028772E" w:rsidRDefault="00286081">
            <w:r>
              <w:t>0.40%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:rsidR="0028772E" w:rsidRDefault="00286081">
            <w:r>
              <w:t>Tablet</w:t>
            </w:r>
          </w:p>
        </w:tc>
        <w:tc>
          <w:tcPr>
            <w:tcW w:w="2340" w:type="dxa"/>
          </w:tcPr>
          <w:p w:rsidR="0028772E" w:rsidRDefault="00286081">
            <w:r>
              <w:t>2,739</w:t>
            </w:r>
          </w:p>
        </w:tc>
        <w:tc>
          <w:tcPr>
            <w:tcW w:w="2340" w:type="dxa"/>
          </w:tcPr>
          <w:p w:rsidR="0028772E" w:rsidRDefault="00286081">
            <w:r>
              <w:t>9</w:t>
            </w:r>
          </w:p>
        </w:tc>
        <w:tc>
          <w:tcPr>
            <w:tcW w:w="2340" w:type="dxa"/>
          </w:tcPr>
          <w:p w:rsidR="0028772E" w:rsidRDefault="00286081">
            <w:r>
              <w:t>0.33%</w:t>
            </w:r>
          </w:p>
        </w:tc>
      </w:tr>
    </w:tbl>
    <w:p w:rsidR="0028772E" w:rsidRDefault="0028772E">
      <w:pPr>
        <w:spacing w:after="150"/>
      </w:pPr>
    </w:p>
    <w:p w:rsidR="0028772E" w:rsidRDefault="00286081">
      <w:pPr>
        <w:spacing w:after="150"/>
      </w:pPr>
      <w:r>
        <w:t xml:space="preserve">Mobile drives 28% of sessions but only 8.4% of purchases. </w:t>
      </w:r>
      <w:r>
        <w:rPr>
          <w:b/>
          <w:bCs/>
        </w:rPr>
        <w:t>Desktop converts 3.5x better than mobile.</w:t>
      </w:r>
      <w:r>
        <w:t xml:space="preserve"> Given mobile's share of traffic, closing even part of this gap represents a meaningful revenue opportunity.</w:t>
      </w:r>
    </w:p>
    <w:p w:rsidR="0028772E" w:rsidRDefault="00286081">
      <w:pPr>
        <w:pStyle w:val="Heading2"/>
        <w:spacing w:before="300" w:after="150"/>
      </w:pPr>
      <w:r>
        <w:lastRenderedPageBreak/>
        <w:t>2.2 Breakdown by Traffic Source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2024"/>
        <w:gridCol w:w="2024"/>
        <w:gridCol w:w="2530"/>
      </w:tblGrid>
      <w:tr w:rsidR="0028772E">
        <w:tblPrEx>
          <w:tblCellMar>
            <w:top w:w="0" w:type="dxa"/>
            <w:bottom w:w="0" w:type="dxa"/>
          </w:tblCellMar>
        </w:tblPrEx>
        <w:tc>
          <w:tcPr>
            <w:tcW w:w="2783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2024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Sessions</w:t>
            </w:r>
          </w:p>
        </w:tc>
        <w:tc>
          <w:tcPr>
            <w:tcW w:w="2024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Purchases</w:t>
            </w:r>
          </w:p>
        </w:tc>
        <w:tc>
          <w:tcPr>
            <w:tcW w:w="253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Conversion Rate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783" w:type="dxa"/>
          </w:tcPr>
          <w:p w:rsidR="0028772E" w:rsidRDefault="00286081">
            <w:r>
              <w:t>Direct (none)</w:t>
            </w:r>
          </w:p>
        </w:tc>
        <w:tc>
          <w:tcPr>
            <w:tcW w:w="2024" w:type="dxa"/>
          </w:tcPr>
          <w:p w:rsidR="0028772E" w:rsidRDefault="00286081">
            <w:r>
              <w:t>46,749</w:t>
            </w:r>
          </w:p>
        </w:tc>
        <w:tc>
          <w:tcPr>
            <w:tcW w:w="2024" w:type="dxa"/>
          </w:tcPr>
          <w:p w:rsidR="0028772E" w:rsidRDefault="00286081">
            <w:r>
              <w:t>631</w:t>
            </w:r>
          </w:p>
        </w:tc>
        <w:tc>
          <w:tcPr>
            <w:tcW w:w="2530" w:type="dxa"/>
          </w:tcPr>
          <w:p w:rsidR="0028772E" w:rsidRDefault="00286081">
            <w:r>
              <w:t>1.35%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783" w:type="dxa"/>
            <w:shd w:val="clear" w:color="auto" w:fill="EDEDED"/>
          </w:tcPr>
          <w:p w:rsidR="0028772E" w:rsidRDefault="00286081">
            <w:r>
              <w:t>Referral</w:t>
            </w:r>
          </w:p>
        </w:tc>
        <w:tc>
          <w:tcPr>
            <w:tcW w:w="2024" w:type="dxa"/>
            <w:shd w:val="clear" w:color="auto" w:fill="EDEDED"/>
          </w:tcPr>
          <w:p w:rsidR="0028772E" w:rsidRDefault="00286081">
            <w:r>
              <w:t>12,965</w:t>
            </w:r>
          </w:p>
        </w:tc>
        <w:tc>
          <w:tcPr>
            <w:tcW w:w="2024" w:type="dxa"/>
            <w:shd w:val="clear" w:color="auto" w:fill="EDEDED"/>
          </w:tcPr>
          <w:p w:rsidR="0028772E" w:rsidRDefault="00286081">
            <w:r>
              <w:t>17</w:t>
            </w:r>
          </w:p>
        </w:tc>
        <w:tc>
          <w:tcPr>
            <w:tcW w:w="2530" w:type="dxa"/>
            <w:shd w:val="clear" w:color="auto" w:fill="EDEDED"/>
          </w:tcPr>
          <w:p w:rsidR="0028772E" w:rsidRDefault="00286081">
            <w:r>
              <w:t>0.13%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783" w:type="dxa"/>
          </w:tcPr>
          <w:p w:rsidR="0028772E" w:rsidRDefault="00286081">
            <w:r>
              <w:t>Organic search</w:t>
            </w:r>
          </w:p>
        </w:tc>
        <w:tc>
          <w:tcPr>
            <w:tcW w:w="2024" w:type="dxa"/>
          </w:tcPr>
          <w:p w:rsidR="0028772E" w:rsidRDefault="00286081">
            <w:r>
              <w:t>2,725</w:t>
            </w:r>
          </w:p>
        </w:tc>
        <w:tc>
          <w:tcPr>
            <w:tcW w:w="2024" w:type="dxa"/>
          </w:tcPr>
          <w:p w:rsidR="0028772E" w:rsidRDefault="00286081">
            <w:r>
              <w:t>24</w:t>
            </w:r>
          </w:p>
        </w:tc>
        <w:tc>
          <w:tcPr>
            <w:tcW w:w="2530" w:type="dxa"/>
          </w:tcPr>
          <w:p w:rsidR="0028772E" w:rsidRDefault="00286081">
            <w:r>
              <w:t>0.88%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783" w:type="dxa"/>
            <w:shd w:val="clear" w:color="auto" w:fill="EDEDED"/>
          </w:tcPr>
          <w:p w:rsidR="0028772E" w:rsidRDefault="00286081">
            <w:r>
              <w:t>Affiliate</w:t>
            </w:r>
          </w:p>
        </w:tc>
        <w:tc>
          <w:tcPr>
            <w:tcW w:w="2024" w:type="dxa"/>
            <w:shd w:val="clear" w:color="auto" w:fill="EDEDED"/>
          </w:tcPr>
          <w:p w:rsidR="0028772E" w:rsidRDefault="00286081">
            <w:r>
              <w:t>1,242</w:t>
            </w:r>
          </w:p>
        </w:tc>
        <w:tc>
          <w:tcPr>
            <w:tcW w:w="2024" w:type="dxa"/>
            <w:shd w:val="clear" w:color="auto" w:fill="EDEDED"/>
          </w:tcPr>
          <w:p w:rsidR="0028772E" w:rsidRDefault="00286081">
            <w:r>
              <w:t>0</w:t>
            </w:r>
          </w:p>
        </w:tc>
        <w:tc>
          <w:tcPr>
            <w:tcW w:w="2530" w:type="dxa"/>
            <w:shd w:val="clear" w:color="auto" w:fill="EDEDED"/>
          </w:tcPr>
          <w:p w:rsidR="0028772E" w:rsidRDefault="00286081">
            <w:r>
              <w:t>0.00%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783" w:type="dxa"/>
          </w:tcPr>
          <w:p w:rsidR="0028772E" w:rsidRDefault="00286081">
            <w:r>
              <w:t>CPM (display)</w:t>
            </w:r>
          </w:p>
        </w:tc>
        <w:tc>
          <w:tcPr>
            <w:tcW w:w="2024" w:type="dxa"/>
          </w:tcPr>
          <w:p w:rsidR="0028772E" w:rsidRDefault="00286081">
            <w:r>
              <w:t>660</w:t>
            </w:r>
          </w:p>
        </w:tc>
        <w:tc>
          <w:tcPr>
            <w:tcW w:w="2024" w:type="dxa"/>
          </w:tcPr>
          <w:p w:rsidR="0028772E" w:rsidRDefault="00286081">
            <w:r>
              <w:t>23</w:t>
            </w:r>
          </w:p>
        </w:tc>
        <w:tc>
          <w:tcPr>
            <w:tcW w:w="2530" w:type="dxa"/>
          </w:tcPr>
          <w:p w:rsidR="0028772E" w:rsidRDefault="00286081">
            <w:r>
              <w:t>3.48%*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783" w:type="dxa"/>
            <w:shd w:val="clear" w:color="auto" w:fill="EDEDED"/>
          </w:tcPr>
          <w:p w:rsidR="0028772E" w:rsidRDefault="00286081">
            <w:r>
              <w:t>CPC (paid search)</w:t>
            </w:r>
          </w:p>
        </w:tc>
        <w:tc>
          <w:tcPr>
            <w:tcW w:w="2024" w:type="dxa"/>
            <w:shd w:val="clear" w:color="auto" w:fill="EDEDED"/>
          </w:tcPr>
          <w:p w:rsidR="0028772E" w:rsidRDefault="00286081">
            <w:r>
              <w:t>291</w:t>
            </w:r>
          </w:p>
        </w:tc>
        <w:tc>
          <w:tcPr>
            <w:tcW w:w="2024" w:type="dxa"/>
            <w:shd w:val="clear" w:color="auto" w:fill="EDEDED"/>
          </w:tcPr>
          <w:p w:rsidR="0028772E" w:rsidRDefault="00286081">
            <w:r>
              <w:t>2</w:t>
            </w:r>
          </w:p>
        </w:tc>
        <w:tc>
          <w:tcPr>
            <w:tcW w:w="2530" w:type="dxa"/>
            <w:shd w:val="clear" w:color="auto" w:fill="EDEDED"/>
          </w:tcPr>
          <w:p w:rsidR="0028772E" w:rsidRDefault="00286081">
            <w:r>
              <w:t>0.69%</w:t>
            </w:r>
          </w:p>
        </w:tc>
      </w:tr>
    </w:tbl>
    <w:p w:rsidR="0028772E" w:rsidRDefault="00286081">
      <w:pPr>
        <w:spacing w:after="150"/>
      </w:pPr>
      <w:r>
        <w:rPr>
          <w:i/>
          <w:iCs/>
        </w:rPr>
        <w:t>*Small sample size — directionally interesting, not conclusive.</w:t>
      </w:r>
    </w:p>
    <w:p w:rsidR="0028772E" w:rsidRDefault="00286081">
      <w:pPr>
        <w:spacing w:after="150"/>
      </w:pPr>
      <w:r>
        <w:rPr>
          <w:b/>
          <w:bCs/>
        </w:rPr>
        <w:t xml:space="preserve">Takeaway: </w:t>
      </w:r>
      <w:r>
        <w:rPr>
          <w:b/>
          <w:bCs/>
        </w:rPr>
        <w:t>referral traffic brings substantial volume (12,965 sessions) but converts 10x worse than direct traffic, and affiliate traffic converted at 0% across 1,242 sessions.</w:t>
      </w:r>
      <w:r>
        <w:t xml:space="preserve"> Both channels warrant a closer quality review — possible causes include low-intent visitor</w:t>
      </w:r>
      <w:r>
        <w:t>s, mismatched targeting, or low-quality referral partners.</w:t>
      </w:r>
    </w:p>
    <w:p w:rsidR="0028772E" w:rsidRDefault="00286081">
      <w:pPr>
        <w:pStyle w:val="Heading1"/>
        <w:spacing w:before="300" w:after="150"/>
      </w:pPr>
      <w:r>
        <w:t>3. Retention Analysis</w:t>
      </w:r>
    </w:p>
    <w:p w:rsidR="0028772E" w:rsidRDefault="00286081">
      <w:pPr>
        <w:spacing w:after="150"/>
      </w:pPr>
      <w:r>
        <w:t>Cohort: users whose first-ever visit fell in January 2017, tracked through June 2017.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8772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Month</w:t>
            </w:r>
          </w:p>
        </w:tc>
        <w:tc>
          <w:tcPr>
            <w:tcW w:w="312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Active Users</w:t>
            </w:r>
          </w:p>
        </w:tc>
        <w:tc>
          <w:tcPr>
            <w:tcW w:w="3120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% Retained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28772E" w:rsidRDefault="00286081">
            <w:r>
              <w:t>0 (Jan)</w:t>
            </w:r>
          </w:p>
        </w:tc>
        <w:tc>
          <w:tcPr>
            <w:tcW w:w="3120" w:type="dxa"/>
          </w:tcPr>
          <w:p w:rsidR="0028772E" w:rsidRDefault="00286081">
            <w:r>
              <w:t>53,041</w:t>
            </w:r>
          </w:p>
        </w:tc>
        <w:tc>
          <w:tcPr>
            <w:tcW w:w="3120" w:type="dxa"/>
          </w:tcPr>
          <w:p w:rsidR="0028772E" w:rsidRDefault="00286081">
            <w:r>
              <w:t>100%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DEDED"/>
          </w:tcPr>
          <w:p w:rsidR="0028772E" w:rsidRDefault="00286081">
            <w:r>
              <w:t>1 (Feb)</w:t>
            </w:r>
          </w:p>
        </w:tc>
        <w:tc>
          <w:tcPr>
            <w:tcW w:w="3120" w:type="dxa"/>
            <w:shd w:val="clear" w:color="auto" w:fill="EDEDED"/>
          </w:tcPr>
          <w:p w:rsidR="0028772E" w:rsidRDefault="00286081">
            <w:r>
              <w:t>2,175</w:t>
            </w:r>
          </w:p>
        </w:tc>
        <w:tc>
          <w:tcPr>
            <w:tcW w:w="3120" w:type="dxa"/>
            <w:shd w:val="clear" w:color="auto" w:fill="EDEDED"/>
          </w:tcPr>
          <w:p w:rsidR="0028772E" w:rsidRDefault="00286081">
            <w:r>
              <w:t>4.10%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28772E" w:rsidRDefault="00286081">
            <w:r>
              <w:t>2 (Mar)</w:t>
            </w:r>
          </w:p>
        </w:tc>
        <w:tc>
          <w:tcPr>
            <w:tcW w:w="3120" w:type="dxa"/>
          </w:tcPr>
          <w:p w:rsidR="0028772E" w:rsidRDefault="00286081">
            <w:r>
              <w:t>907</w:t>
            </w:r>
          </w:p>
        </w:tc>
        <w:tc>
          <w:tcPr>
            <w:tcW w:w="3120" w:type="dxa"/>
          </w:tcPr>
          <w:p w:rsidR="0028772E" w:rsidRDefault="00286081">
            <w:r>
              <w:t>1.71%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DEDED"/>
          </w:tcPr>
          <w:p w:rsidR="0028772E" w:rsidRDefault="00286081">
            <w:r>
              <w:t>3 (Apr)</w:t>
            </w:r>
          </w:p>
        </w:tc>
        <w:tc>
          <w:tcPr>
            <w:tcW w:w="3120" w:type="dxa"/>
            <w:shd w:val="clear" w:color="auto" w:fill="EDEDED"/>
          </w:tcPr>
          <w:p w:rsidR="0028772E" w:rsidRDefault="00286081">
            <w:r>
              <w:t>572</w:t>
            </w:r>
          </w:p>
        </w:tc>
        <w:tc>
          <w:tcPr>
            <w:tcW w:w="3120" w:type="dxa"/>
            <w:shd w:val="clear" w:color="auto" w:fill="EDEDED"/>
          </w:tcPr>
          <w:p w:rsidR="0028772E" w:rsidRDefault="00286081">
            <w:r>
              <w:t>1.08%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28772E" w:rsidRDefault="00286081">
            <w:r>
              <w:t>4 (May)</w:t>
            </w:r>
          </w:p>
        </w:tc>
        <w:tc>
          <w:tcPr>
            <w:tcW w:w="3120" w:type="dxa"/>
          </w:tcPr>
          <w:p w:rsidR="0028772E" w:rsidRDefault="00286081">
            <w:r>
              <w:t>412</w:t>
            </w:r>
          </w:p>
        </w:tc>
        <w:tc>
          <w:tcPr>
            <w:tcW w:w="3120" w:type="dxa"/>
          </w:tcPr>
          <w:p w:rsidR="0028772E" w:rsidRDefault="00286081">
            <w:r>
              <w:t>0.78%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DEDED"/>
          </w:tcPr>
          <w:p w:rsidR="0028772E" w:rsidRDefault="00286081">
            <w:r>
              <w:t>5 (Jun)</w:t>
            </w:r>
          </w:p>
        </w:tc>
        <w:tc>
          <w:tcPr>
            <w:tcW w:w="3120" w:type="dxa"/>
            <w:shd w:val="clear" w:color="auto" w:fill="EDEDED"/>
          </w:tcPr>
          <w:p w:rsidR="0028772E" w:rsidRDefault="00286081">
            <w:r>
              <w:t>277</w:t>
            </w:r>
          </w:p>
        </w:tc>
        <w:tc>
          <w:tcPr>
            <w:tcW w:w="3120" w:type="dxa"/>
            <w:shd w:val="clear" w:color="auto" w:fill="EDEDED"/>
          </w:tcPr>
          <w:p w:rsidR="0028772E" w:rsidRDefault="00286081">
            <w:r>
              <w:t>0.52%</w:t>
            </w:r>
          </w:p>
        </w:tc>
      </w:tr>
    </w:tbl>
    <w:p w:rsidR="0028772E" w:rsidRDefault="0028772E">
      <w:pPr>
        <w:spacing w:after="150"/>
      </w:pPr>
    </w:p>
    <w:p w:rsidR="0028772E" w:rsidRDefault="00286081">
      <w:pPr>
        <w:spacing w:after="150"/>
      </w:pPr>
      <w:r>
        <w:rPr>
          <w:b/>
          <w:bCs/>
        </w:rPr>
        <w:t>Takeaway: the business has a strong acquisition engine but a weak retention engine</w:t>
      </w:r>
      <w:r>
        <w:t xml:space="preserve"> — the steep month-1 drop suggests most visitors are one-time or occasional buyers rather than repeat customers. This is common for merchandise/one-off purchase stores, but still represents an opportunity: even modest improvements in month-1 return rate (e</w:t>
      </w:r>
      <w:r>
        <w:t>.g., via post-purchase email flows or retargeting) would compound meaningfully given the size of the acquisition funnel.</w:t>
      </w:r>
    </w:p>
    <w:p w:rsidR="0028772E" w:rsidRDefault="00286081">
      <w:pPr>
        <w:pStyle w:val="Heading1"/>
        <w:spacing w:before="300" w:after="150"/>
      </w:pPr>
      <w:r>
        <w:t>4. A/B Test: Simplified Mobile Checkout</w:t>
      </w:r>
    </w:p>
    <w:p w:rsidR="0028772E" w:rsidRDefault="00286081">
      <w:pPr>
        <w:spacing w:after="150"/>
      </w:pPr>
      <w:r>
        <w:rPr>
          <w:b/>
          <w:bCs/>
        </w:rPr>
        <w:t xml:space="preserve">Hypothesis: Reducing mobile checkout friction (fewer form fields, guest checkout, </w:t>
      </w:r>
      <w:proofErr w:type="spellStart"/>
      <w:proofErr w:type="gramStart"/>
      <w:r>
        <w:rPr>
          <w:b/>
          <w:bCs/>
        </w:rPr>
        <w:t>autofill</w:t>
      </w:r>
      <w:proofErr w:type="spellEnd"/>
      <w:proofErr w:type="gramEnd"/>
      <w:r>
        <w:rPr>
          <w:b/>
          <w:bCs/>
        </w:rPr>
        <w:t>) will improve mobile cart-to-purchase conversion.</w:t>
      </w:r>
    </w:p>
    <w:p w:rsidR="0028772E" w:rsidRDefault="00286081">
      <w:pPr>
        <w:spacing w:after="150"/>
      </w:pPr>
      <w:r>
        <w:t xml:space="preserve">Method: Using observed mobile add-to-cart sessions (n=630) from January 2017, we simulated two equal groups (n=315 </w:t>
      </w:r>
      <w:r>
        <w:t>each):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t>Control (A): current observed conversion rate (11.75%)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t>Variant (B): simulated +35% relative lift (11.75% → 15.9%), based on conservative industry benchmarks for checkout friction reduction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9"/>
        <w:gridCol w:w="1872"/>
        <w:gridCol w:w="2139"/>
        <w:gridCol w:w="1605"/>
        <w:gridCol w:w="1605"/>
      </w:tblGrid>
      <w:tr w:rsidR="0028772E">
        <w:tblPrEx>
          <w:tblCellMar>
            <w:top w:w="0" w:type="dxa"/>
            <w:bottom w:w="0" w:type="dxa"/>
          </w:tblCellMar>
        </w:tblPrEx>
        <w:tc>
          <w:tcPr>
            <w:tcW w:w="2139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1872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Converted</w:t>
            </w:r>
          </w:p>
        </w:tc>
        <w:tc>
          <w:tcPr>
            <w:tcW w:w="2139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Did Not Convert</w:t>
            </w:r>
          </w:p>
        </w:tc>
        <w:tc>
          <w:tcPr>
            <w:tcW w:w="1605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605" w:type="dxa"/>
            <w:shd w:val="clear" w:color="auto" w:fill="2F5496"/>
          </w:tcPr>
          <w:p w:rsidR="0028772E" w:rsidRDefault="00286081">
            <w:r>
              <w:rPr>
                <w:b/>
                <w:bCs/>
                <w:color w:val="FFFFFF"/>
              </w:rPr>
              <w:t>Rate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139" w:type="dxa"/>
          </w:tcPr>
          <w:p w:rsidR="0028772E" w:rsidRDefault="00286081">
            <w:r>
              <w:t>A (Control)</w:t>
            </w:r>
          </w:p>
        </w:tc>
        <w:tc>
          <w:tcPr>
            <w:tcW w:w="1872" w:type="dxa"/>
          </w:tcPr>
          <w:p w:rsidR="0028772E" w:rsidRDefault="00286081">
            <w:r>
              <w:t>37</w:t>
            </w:r>
          </w:p>
        </w:tc>
        <w:tc>
          <w:tcPr>
            <w:tcW w:w="2139" w:type="dxa"/>
          </w:tcPr>
          <w:p w:rsidR="0028772E" w:rsidRDefault="00286081">
            <w:r>
              <w:t>278</w:t>
            </w:r>
          </w:p>
        </w:tc>
        <w:tc>
          <w:tcPr>
            <w:tcW w:w="1605" w:type="dxa"/>
          </w:tcPr>
          <w:p w:rsidR="0028772E" w:rsidRDefault="00286081">
            <w:r>
              <w:t>315</w:t>
            </w:r>
          </w:p>
        </w:tc>
        <w:tc>
          <w:tcPr>
            <w:tcW w:w="1605" w:type="dxa"/>
          </w:tcPr>
          <w:p w:rsidR="0028772E" w:rsidRDefault="00286081">
            <w:r>
              <w:t>11.75%</w:t>
            </w:r>
          </w:p>
        </w:tc>
      </w:tr>
      <w:tr w:rsidR="0028772E">
        <w:tblPrEx>
          <w:tblCellMar>
            <w:top w:w="0" w:type="dxa"/>
            <w:bottom w:w="0" w:type="dxa"/>
          </w:tblCellMar>
        </w:tblPrEx>
        <w:tc>
          <w:tcPr>
            <w:tcW w:w="2139" w:type="dxa"/>
            <w:shd w:val="clear" w:color="auto" w:fill="EDEDED"/>
          </w:tcPr>
          <w:p w:rsidR="0028772E" w:rsidRDefault="00286081">
            <w:r>
              <w:t>B (Variant)</w:t>
            </w:r>
          </w:p>
        </w:tc>
        <w:tc>
          <w:tcPr>
            <w:tcW w:w="1872" w:type="dxa"/>
            <w:shd w:val="clear" w:color="auto" w:fill="EDEDED"/>
          </w:tcPr>
          <w:p w:rsidR="0028772E" w:rsidRDefault="00286081">
            <w:r>
              <w:t>50</w:t>
            </w:r>
          </w:p>
        </w:tc>
        <w:tc>
          <w:tcPr>
            <w:tcW w:w="2139" w:type="dxa"/>
            <w:shd w:val="clear" w:color="auto" w:fill="EDEDED"/>
          </w:tcPr>
          <w:p w:rsidR="0028772E" w:rsidRDefault="00286081">
            <w:r>
              <w:t>265</w:t>
            </w:r>
          </w:p>
        </w:tc>
        <w:tc>
          <w:tcPr>
            <w:tcW w:w="1605" w:type="dxa"/>
            <w:shd w:val="clear" w:color="auto" w:fill="EDEDED"/>
          </w:tcPr>
          <w:p w:rsidR="0028772E" w:rsidRDefault="00286081">
            <w:r>
              <w:t>315</w:t>
            </w:r>
          </w:p>
        </w:tc>
        <w:tc>
          <w:tcPr>
            <w:tcW w:w="1605" w:type="dxa"/>
            <w:shd w:val="clear" w:color="auto" w:fill="EDEDED"/>
          </w:tcPr>
          <w:p w:rsidR="0028772E" w:rsidRDefault="00286081">
            <w:r>
              <w:t>15.9%</w:t>
            </w:r>
          </w:p>
        </w:tc>
      </w:tr>
    </w:tbl>
    <w:p w:rsidR="0028772E" w:rsidRDefault="0028772E">
      <w:pPr>
        <w:spacing w:after="150"/>
      </w:pPr>
    </w:p>
    <w:p w:rsidR="0028772E" w:rsidRDefault="00286081">
      <w:pPr>
        <w:spacing w:after="150"/>
      </w:pPr>
      <w:r>
        <w:rPr>
          <w:b/>
          <w:bCs/>
        </w:rPr>
        <w:t>Statistical test: Chi-square test of independence</w:t>
      </w:r>
    </w:p>
    <w:p w:rsidR="0028772E" w:rsidRDefault="00286081">
      <w:pPr>
        <w:spacing w:after="150"/>
      </w:pPr>
      <w:r>
        <w:rPr>
          <w:b/>
          <w:bCs/>
        </w:rPr>
        <w:t xml:space="preserve">χ² = 2.254, </w:t>
      </w:r>
      <w:proofErr w:type="spellStart"/>
      <w:proofErr w:type="gramStart"/>
      <w:r>
        <w:rPr>
          <w:b/>
          <w:bCs/>
        </w:rPr>
        <w:t>df</w:t>
      </w:r>
      <w:proofErr w:type="spellEnd"/>
      <w:proofErr w:type="gramEnd"/>
      <w:r>
        <w:rPr>
          <w:b/>
          <w:bCs/>
        </w:rPr>
        <w:t xml:space="preserve"> = 1, p-value = 0.133</w:t>
      </w:r>
    </w:p>
    <w:p w:rsidR="0028772E" w:rsidRDefault="00286081">
      <w:pPr>
        <w:spacing w:after="150"/>
      </w:pPr>
      <w:r>
        <w:rPr>
          <w:b/>
          <w:bCs/>
        </w:rPr>
        <w:t>Result: Not statistically significant at the conventional p &lt; 0.05 threshold.</w:t>
      </w:r>
    </w:p>
    <w:p w:rsidR="0028772E" w:rsidRDefault="00286081">
      <w:pPr>
        <w:spacing w:after="150"/>
      </w:pPr>
      <w:r>
        <w:rPr>
          <w:b/>
          <w:bCs/>
        </w:rPr>
        <w:lastRenderedPageBreak/>
        <w:t>Recommendation: Do not ship based on this result. Extend the test.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t>The observed lift is directionally promising but the sample size (n=315/group, only ~74 total mobile purchases in the source data) is too small to confidently rule out random chance.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t>Recomm</w:t>
      </w:r>
      <w:r>
        <w:t>end running the test over a longer period or pooling additional months of mobile traffic to reach adequate statistical power before making a ship/no-ship call.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t>Note: this is a simulated test on historical data. In a live setting, we'd define sample size an</w:t>
      </w:r>
      <w:r>
        <w:t>d test duration upfront (via a power analysis) rather than evaluating results as data arrives, to avoid inflating false positive risk.</w:t>
      </w:r>
    </w:p>
    <w:p w:rsidR="0028772E" w:rsidRDefault="00286081">
      <w:pPr>
        <w:pStyle w:val="Heading1"/>
        <w:spacing w:before="300" w:after="150"/>
      </w:pPr>
      <w:r>
        <w:t>5. Overall Recommendations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Investigate top-of-funnel engagement</w:t>
      </w:r>
      <w:r>
        <w:t xml:space="preserve"> — 86% of sessions never view a product; understand whethe</w:t>
      </w:r>
      <w:r>
        <w:t>r this is a landing page, navigation, or product discovery issue.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Prioritize mobile checkout UX</w:t>
      </w:r>
      <w:r>
        <w:t xml:space="preserve"> — the conversion gap vs. desktop is large and mobile traffic share is significant; even a validated, modest improvement would have outsized impact.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Audit referr</w:t>
      </w:r>
      <w:r>
        <w:rPr>
          <w:b/>
          <w:bCs/>
        </w:rPr>
        <w:t>al and affiliate traffic quality</w:t>
      </w:r>
      <w:r>
        <w:t xml:space="preserve"> — near-zero conversion at meaningful volume suggests wasted spend or poor-fit partnerships.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Invest in post-first-purchase retention</w:t>
      </w:r>
      <w:r>
        <w:t xml:space="preserve"> — email/remarketing aimed at month-1 return, since this is where the steepest user loss occurs.</w:t>
      </w:r>
    </w:p>
    <w:p w:rsidR="0028772E" w:rsidRDefault="00286081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Extend the mobile checkout A/B test</w:t>
      </w:r>
      <w:r>
        <w:t xml:space="preserve"> rather than shipping on an inconclusive result — collect more data before deciding.</w:t>
      </w:r>
    </w:p>
    <w:p w:rsidR="0028772E" w:rsidRDefault="00286081">
      <w:pPr>
        <w:pStyle w:val="Heading1"/>
        <w:spacing w:before="300" w:after="150"/>
      </w:pPr>
      <w:r>
        <w:t>6. Supporting Dashboards &amp; Cross-Tool V</w:t>
      </w:r>
      <w:r>
        <w:t>alidation</w:t>
      </w:r>
    </w:p>
    <w:p w:rsidR="0028772E" w:rsidRDefault="00286081">
      <w:pPr>
        <w:spacing w:after="150"/>
      </w:pPr>
      <w:r>
        <w:rPr>
          <w:b/>
          <w:bCs/>
        </w:rPr>
        <w:t xml:space="preserve">Tableau dashboard: </w:t>
      </w:r>
      <w:r>
        <w:t>https://public.tableau.com/shared/CHDZNM6P3?:display_count=n&amp;:origin=viz_share_link</w:t>
      </w:r>
    </w:p>
    <w:p w:rsidR="0028772E" w:rsidRDefault="00286081">
      <w:pPr>
        <w:spacing w:after="150"/>
      </w:pPr>
      <w:r>
        <w:t>The funnel and retention analyses in this memo were independently reproduced in Amplitude, using the same underlying dataset, to validate the S</w:t>
      </w:r>
      <w:r>
        <w:t>QL results using a second tool.</w:t>
      </w:r>
    </w:p>
    <w:p w:rsidR="0028772E" w:rsidRDefault="00286081">
      <w:pPr>
        <w:spacing w:after="150"/>
      </w:pPr>
      <w:r>
        <w:rPr>
          <w:b/>
          <w:bCs/>
        </w:rPr>
        <w:t xml:space="preserve">Note: </w:t>
      </w:r>
      <w:r>
        <w:t xml:space="preserve">Amplitude's funnel and retention numbers are close to, but not identical to, the SQL results above (e.g., 9,211 vs. 7,918 product views). This is expected, not a discrepancy to be concerned about: </w:t>
      </w:r>
      <w:proofErr w:type="spellStart"/>
      <w:r>
        <w:t>BigQuery</w:t>
      </w:r>
      <w:proofErr w:type="spellEnd"/>
      <w:r>
        <w:t xml:space="preserve"> counted uniq</w:t>
      </w:r>
      <w:r>
        <w:t xml:space="preserve">ue </w:t>
      </w:r>
      <w:r>
        <w:rPr>
          <w:i/>
          <w:iCs/>
        </w:rPr>
        <w:t>sessions</w:t>
      </w:r>
      <w:r>
        <w:t xml:space="preserve">, while Amplitude's funnel counts unique </w:t>
      </w:r>
      <w:r>
        <w:rPr>
          <w:i/>
          <w:iCs/>
        </w:rPr>
        <w:t>users</w:t>
      </w:r>
      <w:r>
        <w:t xml:space="preserve"> within a 30-day conversion window. Both are valid, standard ways to define a funnel, and the distinction is called out explicitly here for transparency.</w:t>
      </w:r>
    </w:p>
    <w:p w:rsidR="0028772E" w:rsidRDefault="0028772E">
      <w:pPr>
        <w:pBdr>
          <w:bottom w:val="single" w:sz="6" w:space="0" w:color="AAAAAA"/>
        </w:pBdr>
        <w:spacing w:before="200" w:after="200"/>
      </w:pPr>
    </w:p>
    <w:p w:rsidR="0028772E" w:rsidRDefault="00286081">
      <w:pPr>
        <w:spacing w:after="150"/>
      </w:pPr>
      <w:r>
        <w:rPr>
          <w:i/>
          <w:iCs/>
        </w:rPr>
        <w:t>Full SQL queries, methodology, and supportin</w:t>
      </w:r>
      <w:r>
        <w:rPr>
          <w:i/>
          <w:iCs/>
        </w:rPr>
        <w:t>g dashboards (Amplitude, Tableau) available in the accompanying project repository.</w:t>
      </w:r>
    </w:p>
    <w:sectPr w:rsidR="002877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83CC3"/>
    <w:multiLevelType w:val="hybridMultilevel"/>
    <w:tmpl w:val="81BEBB4C"/>
    <w:lvl w:ilvl="0" w:tplc="DCF41EC2">
      <w:start w:val="1"/>
      <w:numFmt w:val="bullet"/>
      <w:lvlText w:val="●"/>
      <w:lvlJc w:val="left"/>
      <w:pPr>
        <w:ind w:left="720" w:hanging="360"/>
      </w:pPr>
    </w:lvl>
    <w:lvl w:ilvl="1" w:tplc="607AA1E2">
      <w:start w:val="1"/>
      <w:numFmt w:val="bullet"/>
      <w:lvlText w:val="○"/>
      <w:lvlJc w:val="left"/>
      <w:pPr>
        <w:ind w:left="1440" w:hanging="360"/>
      </w:pPr>
    </w:lvl>
    <w:lvl w:ilvl="2" w:tplc="C4129938">
      <w:start w:val="1"/>
      <w:numFmt w:val="bullet"/>
      <w:lvlText w:val="■"/>
      <w:lvlJc w:val="left"/>
      <w:pPr>
        <w:ind w:left="2160" w:hanging="360"/>
      </w:pPr>
    </w:lvl>
    <w:lvl w:ilvl="3" w:tplc="843436F4">
      <w:start w:val="1"/>
      <w:numFmt w:val="bullet"/>
      <w:lvlText w:val="●"/>
      <w:lvlJc w:val="left"/>
      <w:pPr>
        <w:ind w:left="2880" w:hanging="360"/>
      </w:pPr>
    </w:lvl>
    <w:lvl w:ilvl="4" w:tplc="A28EB906">
      <w:start w:val="1"/>
      <w:numFmt w:val="bullet"/>
      <w:lvlText w:val="○"/>
      <w:lvlJc w:val="left"/>
      <w:pPr>
        <w:ind w:left="3600" w:hanging="360"/>
      </w:pPr>
    </w:lvl>
    <w:lvl w:ilvl="5" w:tplc="A588CED8">
      <w:start w:val="1"/>
      <w:numFmt w:val="bullet"/>
      <w:lvlText w:val="■"/>
      <w:lvlJc w:val="left"/>
      <w:pPr>
        <w:ind w:left="4320" w:hanging="360"/>
      </w:pPr>
    </w:lvl>
    <w:lvl w:ilvl="6" w:tplc="D5BE6B80">
      <w:start w:val="1"/>
      <w:numFmt w:val="bullet"/>
      <w:lvlText w:val="●"/>
      <w:lvlJc w:val="left"/>
      <w:pPr>
        <w:ind w:left="5040" w:hanging="360"/>
      </w:pPr>
    </w:lvl>
    <w:lvl w:ilvl="7" w:tplc="71E6171C">
      <w:start w:val="1"/>
      <w:numFmt w:val="bullet"/>
      <w:lvlText w:val="●"/>
      <w:lvlJc w:val="left"/>
      <w:pPr>
        <w:ind w:left="5760" w:hanging="360"/>
      </w:pPr>
    </w:lvl>
    <w:lvl w:ilvl="8" w:tplc="D91EEF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72E"/>
    <w:rsid w:val="00286081"/>
    <w:rsid w:val="0028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A89539-4955-43A1-95A2-D7F59914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2026-07-28T09:37:00Z</dcterms:created>
  <dcterms:modified xsi:type="dcterms:W3CDTF">2026-07-28T09:44:00Z</dcterms:modified>
</cp:coreProperties>
</file>