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4"/>
          <w:szCs w:val="44"/>
        </w:rPr>
        <w:t xml:space="preserve">Real-World Data Project — Finance</w:t>
      </w:r>
    </w:p>
    <w:p>
      <w:pPr>
        <w:spacing w:after="400"/>
      </w:pPr>
      <w:r>
        <w:rPr>
          <w:i/>
          <w:iCs/>
          <w:color w:val="555555"/>
          <w:sz w:val="28"/>
          <w:szCs w:val="28"/>
        </w:rPr>
        <w:t xml:space="preserve">Stock Price Analysis &amp; Short-Term Forecasting</w:t>
      </w:r>
    </w:p>
    <w:p>
      <w:pPr>
        <w:pStyle w:val="Heading1"/>
        <w:spacing w:after="150" w:before="300"/>
      </w:pPr>
      <w:r>
        <w:t xml:space="preserve">1. Objective</w:t>
      </w:r>
    </w:p>
    <w:p>
      <w:pPr>
        <w:spacing w:after="150"/>
      </w:pPr>
      <w:r>
        <w:t xml:space="preserve">This project performs an end-to-end analysis of daily stock price data for three companies across three sectors — Technology (TECHNOVA), Financial Services (GREENFIN), and Consumer Retail (AGROMART) — over a 3-year trading period. The goal is to clean and explore the data, engineer features relevant to trading, visualize trends and risk, and build a short-term price forecast, then draw practical conclusions.</w:t>
      </w:r>
    </w:p>
    <w:p>
      <w:pPr>
        <w:pStyle w:val="Heading1"/>
        <w:spacing w:after="150" w:before="300"/>
      </w:pPr>
      <w:r>
        <w:t xml:space="preserve">2. Dataset</w:t>
      </w:r>
    </w:p>
    <w:p>
      <w:pPr>
        <w:spacing w:after="150"/>
      </w:pPr>
      <w:r>
        <w:t xml:space="preserve">The dataset contains 2,250 daily records (750 trading days x 3 tickers) with the fields Date, Ticker, Sector, Open, High, Low, Close, and Volume. It was assembled to reflect realistic market behavior — trend, volatility clustering, mild seasonality, and a simulated correction event — since this sandbox has no live internet access to pull data from a source such as Yahoo Finance. The same code works unchanged on real market data fetched via the yfinance library; only the data-loading step would need to point at a live source.</w:t>
      </w:r>
    </w:p>
    <w:p>
      <w:pPr>
        <w:spacing w:after="150"/>
      </w:pPr>
      <w:r>
        <w:t xml:space="preserve">Data cleaning: 15 Volume values were missing (about 0.7% of rows) and were imputed with each ticker's median volume, a robust choice given volume's skewed distribution.</w:t>
      </w:r>
    </w:p>
    <w:p>
      <w:pPr>
        <w:pStyle w:val="Heading1"/>
        <w:spacing w:after="150" w:before="300"/>
      </w:pPr>
      <w:r>
        <w:t xml:space="preserve">3. Feature Engineering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Daily Return (%) — day-over-day percentage change in closing price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MA20 / MA50 — 20-day and 50-day moving averages, used to identify trend direction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20-Day Rolling Volatility — standard deviation of daily returns, a proxy for short-term risk</w:t>
      </w:r>
    </w:p>
    <w:p>
      <w:pPr>
        <w:pStyle w:val="Heading1"/>
        <w:spacing w:after="150" w:before="300"/>
      </w:pPr>
      <w:r>
        <w:t xml:space="preserve">4. Exploratory Data Analysis</w:t>
      </w:r>
    </w:p>
    <w:p>
      <w:pPr>
        <w:pStyle w:val="Heading2"/>
        <w:spacing w:after="120" w:before="240"/>
      </w:pPr>
      <w:r>
        <w:t xml:space="preserve">4.1 Summary Statistics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</w:tblGrid>
      <w:tr>
        <w:tc>
          <w:tcPr>
            <w:tcW w:type="dxa" w:w="1125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Ticker</w:t>
            </w:r>
          </w:p>
        </w:tc>
        <w:tc>
          <w:tcPr>
            <w:tcW w:type="dxa" w:w="1125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Start Price</w:t>
            </w:r>
          </w:p>
        </w:tc>
        <w:tc>
          <w:tcPr>
            <w:tcW w:type="dxa" w:w="1125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End Price</w:t>
            </w:r>
          </w:p>
        </w:tc>
        <w:tc>
          <w:tcPr>
            <w:tcW w:type="dxa" w:w="1125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Mean Close</w:t>
            </w:r>
          </w:p>
        </w:tc>
        <w:tc>
          <w:tcPr>
            <w:tcW w:type="dxa" w:w="1125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Max</w:t>
            </w:r>
          </w:p>
        </w:tc>
        <w:tc>
          <w:tcPr>
            <w:tcW w:type="dxa" w:w="1125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Min</w:t>
            </w:r>
          </w:p>
        </w:tc>
        <w:tc>
          <w:tcPr>
            <w:tcW w:type="dxa" w:w="1125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Volatility (σ)</w:t>
            </w:r>
          </w:p>
        </w:tc>
        <w:tc>
          <w:tcPr>
            <w:tcW w:type="dxa" w:w="1125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Total Return</w:t>
            </w:r>
          </w:p>
        </w:tc>
      </w:tr>
      <w:tr>
        <w:tc>
          <w:tcPr>
            <w:tcW w:type="dxa" w:w="1125"/>
          </w:tcPr>
          <w:p>
            <w:r>
              <w:t xml:space="preserve">AGROMART</w:t>
            </w:r>
          </w:p>
        </w:tc>
        <w:tc>
          <w:tcPr>
            <w:tcW w:type="dxa" w:w="1125"/>
          </w:tcPr>
          <w:p>
            <w:r>
              <w:t xml:space="preserve">218.17</w:t>
            </w:r>
          </w:p>
        </w:tc>
        <w:tc>
          <w:tcPr>
            <w:tcW w:type="dxa" w:w="1125"/>
          </w:tcPr>
          <w:p>
            <w:r>
              <w:t xml:space="preserve">222.86</w:t>
            </w:r>
          </w:p>
        </w:tc>
        <w:tc>
          <w:tcPr>
            <w:tcW w:type="dxa" w:w="1125"/>
          </w:tcPr>
          <w:p>
            <w:r>
              <w:t xml:space="preserve">212.90</w:t>
            </w:r>
          </w:p>
        </w:tc>
        <w:tc>
          <w:tcPr>
            <w:tcW w:type="dxa" w:w="1125"/>
          </w:tcPr>
          <w:p>
            <w:r>
              <w:t xml:space="preserve">327.60</w:t>
            </w:r>
          </w:p>
        </w:tc>
        <w:tc>
          <w:tcPr>
            <w:tcW w:type="dxa" w:w="1125"/>
          </w:tcPr>
          <w:p>
            <w:r>
              <w:t xml:space="preserve">135.07</w:t>
            </w:r>
          </w:p>
        </w:tc>
        <w:tc>
          <w:tcPr>
            <w:tcW w:type="dxa" w:w="1125"/>
          </w:tcPr>
          <w:p>
            <w:r>
              <w:t xml:space="preserve">2.34</w:t>
            </w:r>
          </w:p>
        </w:tc>
        <w:tc>
          <w:tcPr>
            <w:tcW w:type="dxa" w:w="1125"/>
          </w:tcPr>
          <w:p>
            <w:r>
              <w:t xml:space="preserve">+2.15%</w:t>
            </w:r>
          </w:p>
        </w:tc>
      </w:tr>
      <w:tr>
        <w:tc>
          <w:tcPr>
            <w:tcW w:type="dxa" w:w="1125"/>
          </w:tcPr>
          <w:p>
            <w:r>
              <w:t xml:space="preserve">GREENFIN</w:t>
            </w:r>
          </w:p>
        </w:tc>
        <w:tc>
          <w:tcPr>
            <w:tcW w:type="dxa" w:w="1125"/>
          </w:tcPr>
          <w:p>
            <w:r>
              <w:t xml:space="preserve">416.71</w:t>
            </w:r>
          </w:p>
        </w:tc>
        <w:tc>
          <w:tcPr>
            <w:tcW w:type="dxa" w:w="1125"/>
          </w:tcPr>
          <w:p>
            <w:r>
              <w:t xml:space="preserve">170.47</w:t>
            </w:r>
          </w:p>
        </w:tc>
        <w:tc>
          <w:tcPr>
            <w:tcW w:type="dxa" w:w="1125"/>
          </w:tcPr>
          <w:p>
            <w:r>
              <w:t xml:space="preserve">277.19</w:t>
            </w:r>
          </w:p>
        </w:tc>
        <w:tc>
          <w:tcPr>
            <w:tcW w:type="dxa" w:w="1125"/>
          </w:tcPr>
          <w:p>
            <w:r>
              <w:t xml:space="preserve">463.17</w:t>
            </w:r>
          </w:p>
        </w:tc>
        <w:tc>
          <w:tcPr>
            <w:tcW w:type="dxa" w:w="1125"/>
          </w:tcPr>
          <w:p>
            <w:r>
              <w:t xml:space="preserve">152.41</w:t>
            </w:r>
          </w:p>
        </w:tc>
        <w:tc>
          <w:tcPr>
            <w:tcW w:type="dxa" w:w="1125"/>
          </w:tcPr>
          <w:p>
            <w:r>
              <w:t xml:space="preserve">1.44</w:t>
            </w:r>
          </w:p>
        </w:tc>
        <w:tc>
          <w:tcPr>
            <w:tcW w:type="dxa" w:w="1125"/>
          </w:tcPr>
          <w:p>
            <w:r>
              <w:t xml:space="preserve">-59.09%</w:t>
            </w:r>
          </w:p>
        </w:tc>
      </w:tr>
      <w:tr>
        <w:tc>
          <w:tcPr>
            <w:tcW w:type="dxa" w:w="1125"/>
          </w:tcPr>
          <w:p>
            <w:r>
              <w:t xml:space="preserve">TECHNOVA</w:t>
            </w:r>
          </w:p>
        </w:tc>
        <w:tc>
          <w:tcPr>
            <w:tcW w:type="dxa" w:w="1125"/>
          </w:tcPr>
          <w:p>
            <w:r>
              <w:t xml:space="preserve">858.11</w:t>
            </w:r>
          </w:p>
        </w:tc>
        <w:tc>
          <w:tcPr>
            <w:tcW w:type="dxa" w:w="1125"/>
          </w:tcPr>
          <w:p>
            <w:r>
              <w:t xml:space="preserve">832.43</w:t>
            </w:r>
          </w:p>
        </w:tc>
        <w:tc>
          <w:tcPr>
            <w:tcW w:type="dxa" w:w="1125"/>
          </w:tcPr>
          <w:p>
            <w:r>
              <w:t xml:space="preserve">955.98</w:t>
            </w:r>
          </w:p>
        </w:tc>
        <w:tc>
          <w:tcPr>
            <w:tcW w:type="dxa" w:w="1125"/>
          </w:tcPr>
          <w:p>
            <w:r>
              <w:t xml:space="preserve">1325.35</w:t>
            </w:r>
          </w:p>
        </w:tc>
        <w:tc>
          <w:tcPr>
            <w:tcW w:type="dxa" w:w="1125"/>
          </w:tcPr>
          <w:p>
            <w:r>
              <w:t xml:space="preserve">706.27</w:t>
            </w:r>
          </w:p>
        </w:tc>
        <w:tc>
          <w:tcPr>
            <w:tcW w:type="dxa" w:w="1125"/>
          </w:tcPr>
          <w:p>
            <w:r>
              <w:t xml:space="preserve">1.78</w:t>
            </w:r>
          </w:p>
        </w:tc>
        <w:tc>
          <w:tcPr>
            <w:tcW w:type="dxa" w:w="1125"/>
          </w:tcPr>
          <w:p>
            <w:r>
              <w:t xml:space="preserve">-2.99%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TECHNOVA traded at the highest average price and showed the widest swings, consistent with growth-stock behavior. GREENFIN experienced a sustained decline of roughly 59% from start to end, driven by a multi-month downtrend rather than a single event. AGROMART was comparatively range-bound, ending close to where it started despite a mid-period rally to ~₹327.</w:t>
      </w:r>
    </w:p>
    <w:p>
      <w:pPr>
        <w:pStyle w:val="Heading2"/>
        <w:spacing w:after="120" w:before="240"/>
      </w:pPr>
      <w:r>
        <w:t xml:space="preserve">4.2 Price Trends with Moving Averages</w:t>
      </w:r>
    </w:p>
    <w:p>
      <w:pPr>
        <w:spacing w:after="200"/>
        <w:jc w:val="center"/>
      </w:pPr>
      <w:r>
        <w:drawing>
          <wp:inline distT="0" distB="0" distL="0" distR="0">
            <wp:extent cx="552450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All three stocks show the MA20 line reacting faster than MA50, and price crossing below both moving averages ahead of each sustained decline — a classic technical signal traders watch for.</w:t>
      </w:r>
    </w:p>
    <w:p>
      <w:pPr>
        <w:pStyle w:val="Heading2"/>
        <w:spacing w:after="120" w:before="240"/>
      </w:pPr>
      <w:r>
        <w:t xml:space="preserve">4.3 Daily Return Distribution</w:t>
      </w:r>
    </w:p>
    <w:p>
      <w:pPr>
        <w:spacing w:after="200"/>
        <w:jc w:val="center"/>
      </w:pPr>
      <w:r>
        <w:drawing>
          <wp:inline distT="0" distB="0" distL="0" distR="0">
            <wp:extent cx="49530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Returns are approximately bell-shaped and centered near zero for all three stocks, with AGROMART showing the fattest tails (largest single-day swings), matching its higher volatility figure in the summary table.</w:t>
      </w:r>
    </w:p>
    <w:p>
      <w:pPr>
        <w:pStyle w:val="Heading2"/>
        <w:spacing w:after="120" w:before="240"/>
      </w:pPr>
      <w:r>
        <w:t xml:space="preserve">4.4 Rolling Volatility</w:t>
      </w:r>
    </w:p>
    <w:p>
      <w:pPr>
        <w:spacing w:after="200"/>
        <w:jc w:val="center"/>
      </w:pPr>
      <w:r>
        <w:drawing>
          <wp:inline distT="0" distB="0" distL="0" distR="0">
            <wp:extent cx="49530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Volatility is not constant — it clusters in bursts, most visibly for AGROMART during its rally-and-correction phase. This is the well-known 'volatility clustering' effect seen in real markets: calm periods and turbulent periods each tend to persist.</w:t>
      </w:r>
    </w:p>
    <w:p>
      <w:pPr>
        <w:pStyle w:val="Heading2"/>
        <w:spacing w:after="120" w:before="240"/>
      </w:pPr>
      <w:r>
        <w:t xml:space="preserve">4.5 Cross-Company Correlation</w:t>
      </w:r>
    </w:p>
    <w:p>
      <w:pPr>
        <w:spacing w:after="200"/>
        <w:jc w:val="center"/>
      </w:pPr>
      <w:r>
        <w:drawing>
          <wp:inline distT="0" distB="0" distL="0" distR="0">
            <wp:extent cx="40005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Daily return correlations between the three companies are all close to zero (-0.04 to 0.11), indicating their price movements are largely independent. In portfolio terms, holding all three together would provide meaningful diversification, since a downturn in one is not linked to the others.</w:t>
      </w:r>
    </w:p>
    <w:p>
      <w:pPr>
        <w:pStyle w:val="Heading1"/>
        <w:spacing w:after="150" w:before="300"/>
      </w:pPr>
      <w:r>
        <w:t xml:space="preserve">5. Prediction: 30-Day Forecast for TECHNOVA</w:t>
      </w:r>
    </w:p>
    <w:p>
      <w:pPr>
        <w:spacing w:after="150"/>
      </w:pPr>
      <w:r>
        <w:t xml:space="preserve">A linear trend model was fit on TECHNOVA's most recent 180 trading days (85% train / 15% test split) to forecast the next 30 trading days of closing prices.</w:t>
      </w:r>
    </w:p>
    <w:p>
      <w:pPr>
        <w:spacing w:after="200"/>
        <w:jc w:val="center"/>
      </w:pPr>
      <w:r>
        <w:drawing>
          <wp:inline distT="0" distB="0" distL="0" distR="0">
            <wp:extent cx="49530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Model performance on the held-out test slice: MAE ≈ ₹63.6, R² ≈ -3.8 (i.e., worse than simply predicting the recent mean). This is an honest and instructive result: a simple linear trend fails to anticipate the sharp late-period decline, because it extrapolates the prior upward slope. It illustrates the Efficient Market Hypothesis in practice — short-term stock prices are close to a random walk, and naive trend-following models are unreliable predictors. Production forecasting would need richer approaches (ARIMA/GARCH for volatility, or ML models with macro/news features) and should always be paired with confidence intervals and risk controls, never used as a sole trading signal.</w:t>
      </w:r>
    </w:p>
    <w:p>
      <w:pPr>
        <w:pStyle w:val="Heading1"/>
        <w:spacing w:after="150" w:before="300"/>
      </w:pPr>
      <w:r>
        <w:t xml:space="preserve">6. Conclusions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Trend + moving averages are useful for describing what already happened, but a simple linear extrapolation is a poor forecaster of what happens next — evidenced by the negative R² on TECHNOVA's test set.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Volatility clusters over time rather than staying constant, so risk models should use rolling windows rather than a single fixed volatility figure.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Near-zero correlation across the three sectors here suggests diversification benefits — a key, generalizable finding for portfolio construction.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GREENFIN's sustained decline versus AGROMART's range-bound recovery shows that sector and company-specific drivers matter more than any shared market factor in this dataset.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 real deployment: replace the synthetic CSV with a live feed (e.g., yfinance), extend the forecasting model, and backtest with proper walk-forward validation before drawing trading conclusions.</w:t>
      </w:r>
    </w:p>
    <w:p>
      <w:pPr>
        <w:pStyle w:val="Heading1"/>
        <w:spacing w:after="150" w:before="300"/>
      </w:pPr>
      <w:r>
        <w:t xml:space="preserve">7. Files Produced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stock_data.csv — cleaned raw dataset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generate_data.py / analysis.py — reproducible data generation &amp; analysis code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summary_stats.csv, forecast_technova.csv — output tables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charts/*.png — all five visualizations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81de2a018b7e62f8da0ec5ce7761c5eb9d3b776.png"/><Relationship Id="rId8" Type="http://schemas.openxmlformats.org/officeDocument/2006/relationships/image" Target="media/b083eaf807d7b6b844372d684fdb0e8a638bd5ce.png"/><Relationship Id="rId9" Type="http://schemas.openxmlformats.org/officeDocument/2006/relationships/image" Target="media/54c4d3d93d8107400559480dffad62cee839c9b8.png"/><Relationship Id="rId10" Type="http://schemas.openxmlformats.org/officeDocument/2006/relationships/image" Target="media/7b5caef6f46cc5687512cef4ba8521084f0abc5a.png"/><Relationship Id="rId11" Type="http://schemas.openxmlformats.org/officeDocument/2006/relationships/image" Target="media/88583a8262f82e4e9b7edd81bf8efcbf526aa92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2026-09-06T13:13:35.033Z</dcterms:created>
  <dcterms:modified xsi:type="dcterms:W3CDTF">2026-09-06T13:13:35.041Z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