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MASTERS DOCUMENTATION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958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90"/>
        <w:gridCol w:w="4791"/>
      </w:tblGrid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NGERP</w:t>
            </w:r>
          </w:p>
        </w:tc>
      </w:tr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Workflow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MASTERS </w:t>
            </w:r>
          </w:p>
        </w:tc>
      </w:tr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Workflow Item Name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Fonts w:ascii="arial" w:hAnsi="arial"/>
                <w:sz w:val="18"/>
                <w:szCs w:val="18"/>
              </w:rPr>
              <w:t>Tax Category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Tax Category Master is Used to Create Tax Category.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9750" cy="3819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Tax Category Master is used to create tax category.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Tax Category can be only created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Tax Category should be Active to show in the tax category list.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Tax Category Must be assigned to Tax Rate to calculate Tax.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LibreOffice/7.3.7.2$Linux_X86_64 LibreOffice_project/30$Build-2</Application>
  <AppVersion>15.0000</AppVersion>
  <Pages>1</Pages>
  <Words>76</Words>
  <Characters>349</Characters>
  <CharactersWithSpaces>408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2024-12-13T10:49:23Z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