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Lot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 xml:space="preserve">Lot Master is used to view the created lots </w:t>
      </w:r>
      <w:r>
        <w:rPr>
          <w:rFonts w:ascii="arial" w:hAnsi="arial"/>
          <w:b w:val="false"/>
          <w:bCs w:val="false"/>
          <w:sz w:val="18"/>
          <w:szCs w:val="18"/>
        </w:rPr>
        <w:t>from</w:t>
      </w:r>
      <w:r>
        <w:rPr>
          <w:rFonts w:ascii="arial" w:hAnsi="arial"/>
          <w:b w:val="false"/>
          <w:bCs w:val="false"/>
          <w:sz w:val="18"/>
          <w:szCs w:val="18"/>
        </w:rPr>
        <w:t xml:space="preserve"> material receipt. User can able to view </w:t>
      </w:r>
      <w:r>
        <w:rPr>
          <w:rFonts w:ascii="arial" w:hAnsi="arial"/>
          <w:b w:val="false"/>
          <w:bCs w:val="false"/>
          <w:sz w:val="18"/>
          <w:szCs w:val="18"/>
        </w:rPr>
        <w:t xml:space="preserve">if </w:t>
      </w:r>
      <w:r>
        <w:rPr>
          <w:rFonts w:ascii="arial" w:hAnsi="arial"/>
          <w:b w:val="false"/>
          <w:bCs w:val="false"/>
          <w:sz w:val="18"/>
          <w:szCs w:val="18"/>
        </w:rPr>
        <w:t xml:space="preserve">the </w:t>
      </w:r>
      <w:r>
        <w:rPr>
          <w:rFonts w:ascii="arial" w:hAnsi="arial"/>
          <w:b w:val="false"/>
          <w:bCs w:val="false"/>
          <w:sz w:val="18"/>
          <w:szCs w:val="18"/>
        </w:rPr>
        <w:t>lot is active and its</w:t>
      </w:r>
      <w:r>
        <w:rPr>
          <w:rFonts w:ascii="arial" w:hAnsi="arial"/>
          <w:b w:val="false"/>
          <w:bCs w:val="false"/>
          <w:sz w:val="18"/>
          <w:szCs w:val="18"/>
        </w:rPr>
        <w:t xml:space="preserve"> created and expiry date </w:t>
      </w:r>
      <w:r>
        <w:rPr>
          <w:rFonts w:ascii="arial" w:hAnsi="arial"/>
          <w:b w:val="false"/>
          <w:bCs w:val="false"/>
          <w:sz w:val="18"/>
          <w:szCs w:val="18"/>
        </w:rPr>
        <w:t>in the Lot master.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6981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Login as Region to create lots.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New Lots can be only created in Material Receipt and Stock Take Adjustment.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Lot is a storage area inside locator to store products.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create new lot or choose existing one to store the purchased product.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Every lot name should be unique.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cannot create a new lot if there is already an existing one.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expirey date of the lot should be given when creating a new lot.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expiry date of the product is the expiry date of the lot.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LibreOffice/7.3.7.2$Linux_X86_64 LibreOffice_project/30$Build-2</Application>
  <AppVersion>15.0000</AppVersion>
  <Pages>2</Pages>
  <Words>152</Words>
  <Characters>660</Characters>
  <CharactersWithSpaces>789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2024-12-27T14:05:14Z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