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Vendor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Vendor master is used to show list of </w:t>
      </w:r>
      <w:r>
        <w:rPr>
          <w:rFonts w:ascii="arial" w:hAnsi="arial"/>
          <w:b w:val="false"/>
          <w:bCs w:val="false"/>
          <w:sz w:val="18"/>
          <w:szCs w:val="18"/>
        </w:rPr>
        <w:t xml:space="preserve">Business </w:t>
      </w:r>
      <w:r>
        <w:rPr>
          <w:rFonts w:ascii="arial" w:hAnsi="arial"/>
          <w:b w:val="false"/>
          <w:bCs w:val="false"/>
          <w:sz w:val="18"/>
          <w:szCs w:val="18"/>
        </w:rPr>
        <w:t>partner’s who are vendors.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460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master is not editable in both HQ and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</w:t>
      </w:r>
      <w:r>
        <w:rPr>
          <w:rFonts w:ascii="arial" w:hAnsi="arial"/>
          <w:b w:val="false"/>
          <w:bCs w:val="false"/>
          <w:sz w:val="18"/>
          <w:szCs w:val="18"/>
        </w:rPr>
        <w:t xml:space="preserve">hen partner is created in manage partner with the Business partner group type of AP Trade or Non Trade Vendor it shows in the vendor master.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login HQ it shows list of vendors in all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login as Region it shows the vendor list for that region only.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1</Pages>
  <Words>99</Words>
  <Characters>458</Characters>
  <CharactersWithSpaces>543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2024-12-20T12:17:41Z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