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u w:val="single"/>
        </w:rPr>
      </w:pPr>
      <w:r>
        <w:rPr>
          <w:rFonts w:ascii="arial" w:hAnsi="arial"/>
          <w:sz w:val="18"/>
          <w:szCs w:val="18"/>
          <w:u w:val="single"/>
        </w:rPr>
      </w:r>
    </w:p>
    <w:p>
      <w:pPr>
        <w:pStyle w:val="Normal"/>
        <w:bidi w:val="0"/>
        <w:jc w:val="center"/>
        <w:rPr>
          <w:rFonts w:ascii="arial" w:hAnsi="arial"/>
          <w:sz w:val="18"/>
          <w:szCs w:val="18"/>
        </w:rPr>
      </w:pPr>
      <w:r>
        <w:rPr>
          <w:rFonts w:ascii="arial" w:hAnsi="arial"/>
          <w:b/>
          <w:bCs/>
          <w:sz w:val="18"/>
          <w:szCs w:val="18"/>
          <w:u w:val="single"/>
        </w:rPr>
        <w:t>Master Functional Document</w:t>
      </w:r>
    </w:p>
    <w:p>
      <w:pPr>
        <w:pStyle w:val="Normal"/>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rPr>
                <w:b/>
                <w:b/>
                <w:bCs/>
              </w:rPr>
            </w:pPr>
            <w:r>
              <w:rPr>
                <w:rFonts w:ascii="arial" w:hAnsi="arial"/>
                <w:b/>
                <w:bCs/>
                <w:sz w:val="18"/>
                <w:szCs w:val="18"/>
              </w:rPr>
              <w:t>Application</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rPr>
                <w:b/>
                <w:b/>
                <w:bCs/>
              </w:rPr>
            </w:pPr>
            <w:r>
              <w:rPr>
                <w:rFonts w:ascii="arial" w:hAnsi="arial"/>
                <w:b/>
                <w:bCs/>
                <w:sz w:val="18"/>
                <w:szCs w:val="18"/>
              </w:rPr>
              <w:t>Service Bundle</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Master Management</w:t>
            </w:r>
          </w:p>
        </w:tc>
      </w:tr>
      <w:tr>
        <w:trPr/>
        <w:tc>
          <w:tcPr>
            <w:tcW w:w="4818" w:type="dxa"/>
            <w:tcBorders/>
          </w:tcPr>
          <w:p>
            <w:pPr>
              <w:pStyle w:val="TableContents"/>
              <w:widowControl w:val="false"/>
              <w:rPr>
                <w:b/>
                <w:b/>
                <w:bCs/>
              </w:rPr>
            </w:pPr>
            <w:r>
              <w:rPr>
                <w:rFonts w:ascii="arial" w:hAnsi="arial"/>
                <w:b/>
                <w:bCs/>
                <w:sz w:val="18"/>
                <w:szCs w:val="18"/>
              </w:rPr>
              <w:t>Service Request</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Tenant</w:t>
            </w:r>
          </w:p>
        </w:tc>
      </w:tr>
    </w:tbl>
    <w:p>
      <w:pPr>
        <w:pStyle w:val="Normal"/>
        <w:bidi w:val="0"/>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sz w:val="18"/>
          <w:szCs w:val="18"/>
        </w:rPr>
      </w:pPr>
      <w:r>
        <w:rPr>
          <w:rFonts w:ascii="arial" w:hAnsi="arial"/>
          <w:b/>
          <w:bCs/>
          <w:sz w:val="18"/>
          <w:szCs w:val="18"/>
        </w:rPr>
        <w:tab/>
      </w:r>
    </w:p>
    <w:p>
      <w:pPr>
        <w:pStyle w:val="Normal"/>
        <w:bidi w:val="0"/>
        <w:jc w:val="left"/>
        <w:rPr>
          <w:rFonts w:ascii="arial" w:hAnsi="arial"/>
          <w:sz w:val="18"/>
          <w:szCs w:val="18"/>
        </w:rPr>
      </w:pPr>
      <w:r>
        <w:rPr>
          <w:rFonts w:ascii="arial" w:hAnsi="arial"/>
          <w:b w:val="false"/>
          <w:bCs w:val="false"/>
          <w:sz w:val="18"/>
          <w:szCs w:val="18"/>
        </w:rPr>
        <w:tab/>
        <w:t xml:space="preserve">Tenant Master is </w:t>
      </w:r>
      <w:r>
        <w:rPr>
          <w:rFonts w:ascii="arial" w:hAnsi="arial"/>
          <w:b w:val="false"/>
          <w:bCs w:val="false"/>
          <w:sz w:val="18"/>
          <w:szCs w:val="18"/>
        </w:rPr>
        <w:t>used</w:t>
      </w:r>
      <w:r>
        <w:rPr>
          <w:rFonts w:ascii="arial" w:hAnsi="arial"/>
          <w:b w:val="false"/>
          <w:bCs w:val="false"/>
          <w:sz w:val="18"/>
          <w:szCs w:val="18"/>
        </w:rPr>
        <w:t xml:space="preserve"> to partition and secure the software, ensuring that different companies, divisions, or business units can operate independently while still using the same software. It allows for scalability, security, and customization for each organization.</w:t>
      </w:r>
    </w:p>
    <w:p>
      <w:pPr>
        <w:pStyle w:val="Normal"/>
        <w:bidi w:val="0"/>
        <w:jc w:val="left"/>
        <w:rPr>
          <w:rFonts w:ascii="arial" w:hAnsi="arial"/>
          <w:b w:val="false"/>
          <w:b w:val="false"/>
          <w:bCs w:val="false"/>
          <w:sz w:val="18"/>
          <w:szCs w:val="18"/>
        </w:rPr>
      </w:pPr>
      <w:r>
        <w:rPr>
          <w:rFonts w:ascii="arial" w:hAnsi="arial"/>
          <w:b w:val="false"/>
          <w:bCs w:val="false"/>
          <w:sz w:val="18"/>
          <w:szCs w:val="18"/>
        </w:rPr>
      </w:r>
    </w:p>
    <w:p>
      <w:pPr>
        <w:pStyle w:val="Normal"/>
        <w:bidi w:val="0"/>
        <w:jc w:val="left"/>
        <w:rPr>
          <w:rFonts w:ascii="arial" w:hAnsi="arial"/>
          <w:sz w:val="18"/>
          <w:szCs w:val="18"/>
        </w:rPr>
      </w:pPr>
      <w:r>
        <w:rPr>
          <w:rFonts w:ascii="arial" w:hAnsi="arial"/>
          <w:b/>
          <w:bCs/>
          <w:sz w:val="18"/>
          <w:szCs w:val="18"/>
        </w:rPr>
        <w:t>Workflow Process :</w:t>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48275" cy="4724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48275" cy="4724400"/>
                    </a:xfrm>
                    <a:prstGeom prst="rect">
                      <a:avLst/>
                    </a:prstGeom>
                  </pic:spPr>
                </pic:pic>
              </a:graphicData>
            </a:graphic>
          </wp:anchor>
        </w:drawing>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 login to HQ or Region to view tenant.</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cannot able to create new tenant.</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 set material policy in tenant master (FIFO/ LIFO).</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Tenant info tab shows the tenant information.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LibreOffice/7.3.7.2$Linux_X86_64 LibreOffice_project/30$Build-2</Application>
  <AppVersion>15.0000</AppVersion>
  <Pages>1</Pages>
  <Words>97</Words>
  <Characters>528</Characters>
  <CharactersWithSpaces>611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2024-12-27T14:37:40Z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