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</w:t>
            </w:r>
            <w:r>
              <w:rPr>
                <w:rFonts w:ascii="arial" w:hAnsi="arial"/>
                <w:sz w:val="18"/>
                <w:szCs w:val="18"/>
              </w:rPr>
              <w:t xml:space="preserve">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Receipt Allocation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NTA Receipt Allocation screen is used to allocate the NTA AR invoice and NTA Receipt. </w:t>
      </w:r>
      <w:r>
        <w:rPr>
          <w:rFonts w:ascii="arial" w:hAnsi="arial"/>
          <w:b w:val="false"/>
          <w:bCs w:val="false"/>
          <w:sz w:val="18"/>
          <w:szCs w:val="18"/>
        </w:rPr>
        <w:t>User have to choose the businesspartner to whom they wish to allocate the invoice and the payment.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3550" cy="542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Allocation screen can be only accessed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screen is used to allocate NTA AR invoice and NTA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AR invoice document with completed status is shown in invoice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data loaded in this tabs are based on: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Business Partner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Currency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Department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These are chosen by the user.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document with completed status in Payment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choose the business partner to whom they want to allocate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only able to manually allocate the NTA AR Invoice with the NTA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allocate partial or full payment to the NTA AR invoice.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allocated payment can be viewed in the view allocation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2</Pages>
  <Words>185</Words>
  <Characters>866</Characters>
  <CharactersWithSpaces>1018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2024-12-26T09:26:48Z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