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sz w:val="18"/>
          <w:szCs w:val="18"/>
        </w:rPr>
      </w:pPr>
      <w:r>
        <w:rPr>
          <w:rFonts w:ascii="arial" w:hAnsi="arial"/>
          <w:sz w:val="18"/>
          <w:szCs w:val="18"/>
        </w:rPr>
      </w:r>
    </w:p>
    <w:p>
      <w:pPr>
        <w:pStyle w:val="Normal"/>
        <w:bidi w:val="0"/>
        <w:jc w:val="center"/>
        <w:rPr>
          <w:rFonts w:ascii="arial" w:hAnsi="arial"/>
          <w:sz w:val="18"/>
          <w:szCs w:val="18"/>
        </w:rPr>
      </w:pPr>
      <w:r>
        <w:rPr>
          <w:rFonts w:ascii="arial" w:hAnsi="arial"/>
          <w:b/>
          <w:bCs/>
          <w:sz w:val="18"/>
          <w:szCs w:val="18"/>
          <w:u w:val="single"/>
        </w:rPr>
        <w:t>Functional Document</w:t>
      </w:r>
    </w:p>
    <w:p>
      <w:pPr>
        <w:pStyle w:val="Normal"/>
        <w:rPr>
          <w:rFonts w:ascii="arial" w:hAnsi="arial"/>
          <w:sz w:val="18"/>
          <w:szCs w:val="18"/>
        </w:rPr>
      </w:pPr>
      <w:r>
        <w:rPr>
          <w:rFonts w:ascii="arial" w:hAnsi="arial"/>
          <w:sz w:val="18"/>
          <w:szCs w:val="18"/>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widowControl w:val="false"/>
              <w:rPr>
                <w:rFonts w:ascii="arial" w:hAnsi="arial"/>
                <w:b/>
                <w:b/>
                <w:bCs/>
                <w:sz w:val="18"/>
                <w:szCs w:val="18"/>
              </w:rPr>
            </w:pPr>
            <w:r>
              <w:rPr>
                <w:rFonts w:ascii="arial" w:hAnsi="arial"/>
                <w:b/>
                <w:bCs/>
                <w:sz w:val="18"/>
                <w:szCs w:val="18"/>
              </w:rPr>
              <w:t>Application</w:t>
            </w:r>
          </w:p>
        </w:tc>
        <w:tc>
          <w:tcPr>
            <w:tcW w:w="4819" w:type="dxa"/>
            <w:tcBorders/>
          </w:tcPr>
          <w:p>
            <w:pPr>
              <w:pStyle w:val="TableContents"/>
              <w:widowControl w:val="false"/>
              <w:rPr>
                <w:rFonts w:ascii="arial" w:hAnsi="arial"/>
                <w:sz w:val="18"/>
                <w:szCs w:val="18"/>
              </w:rPr>
            </w:pPr>
            <w:r>
              <w:rPr>
                <w:rFonts w:ascii="arial" w:hAnsi="arial"/>
                <w:sz w:val="18"/>
                <w:szCs w:val="18"/>
              </w:rPr>
              <w:t xml:space="preserve"> </w:t>
            </w:r>
            <w:r>
              <w:rPr>
                <w:rFonts w:ascii="arial" w:hAnsi="arial"/>
                <w:sz w:val="18"/>
                <w:szCs w:val="18"/>
              </w:rPr>
              <w:t>NGERP - Centra</w:t>
            </w:r>
          </w:p>
        </w:tc>
      </w:tr>
      <w:tr>
        <w:trPr/>
        <w:tc>
          <w:tcPr>
            <w:tcW w:w="4818" w:type="dxa"/>
            <w:tcBorders/>
          </w:tcPr>
          <w:p>
            <w:pPr>
              <w:pStyle w:val="TableContents"/>
              <w:widowControl w:val="false"/>
              <w:rPr>
                <w:rFonts w:ascii="arial" w:hAnsi="arial"/>
                <w:b/>
                <w:b/>
                <w:bCs/>
                <w:sz w:val="18"/>
                <w:szCs w:val="18"/>
              </w:rPr>
            </w:pPr>
            <w:r>
              <w:rPr>
                <w:rFonts w:ascii="arial" w:hAnsi="arial"/>
                <w:b/>
                <w:bCs/>
                <w:sz w:val="18"/>
                <w:szCs w:val="18"/>
              </w:rPr>
              <w:t>Service Bundle</w:t>
            </w:r>
          </w:p>
        </w:tc>
        <w:tc>
          <w:tcPr>
            <w:tcW w:w="4819" w:type="dxa"/>
            <w:tcBorders/>
          </w:tcPr>
          <w:p>
            <w:pPr>
              <w:pStyle w:val="TableContents"/>
              <w:widowControl w:val="false"/>
              <w:rPr>
                <w:rFonts w:ascii="arial" w:hAnsi="arial"/>
                <w:sz w:val="18"/>
                <w:szCs w:val="18"/>
              </w:rPr>
            </w:pPr>
            <w:r>
              <w:rPr>
                <w:rFonts w:ascii="arial" w:hAnsi="arial"/>
                <w:sz w:val="18"/>
                <w:szCs w:val="18"/>
              </w:rPr>
              <w:t xml:space="preserve"> </w:t>
            </w:r>
            <w:r>
              <w:rPr>
                <w:rFonts w:ascii="arial" w:hAnsi="arial"/>
                <w:sz w:val="18"/>
                <w:szCs w:val="18"/>
              </w:rPr>
              <w:t>Purchase Management</w:t>
            </w:r>
          </w:p>
        </w:tc>
      </w:tr>
      <w:tr>
        <w:trPr/>
        <w:tc>
          <w:tcPr>
            <w:tcW w:w="4818" w:type="dxa"/>
            <w:tcBorders/>
          </w:tcPr>
          <w:p>
            <w:pPr>
              <w:pStyle w:val="TableContents"/>
              <w:widowControl w:val="false"/>
              <w:rPr>
                <w:rFonts w:ascii="arial" w:hAnsi="arial"/>
                <w:b/>
                <w:b/>
                <w:bCs/>
                <w:sz w:val="18"/>
                <w:szCs w:val="18"/>
              </w:rPr>
            </w:pPr>
            <w:r>
              <w:rPr>
                <w:rFonts w:ascii="arial" w:hAnsi="arial"/>
                <w:b/>
                <w:bCs/>
                <w:sz w:val="18"/>
                <w:szCs w:val="18"/>
              </w:rPr>
              <w:t>Service Request</w:t>
            </w:r>
          </w:p>
        </w:tc>
        <w:tc>
          <w:tcPr>
            <w:tcW w:w="4819" w:type="dxa"/>
            <w:tcBorders/>
          </w:tcPr>
          <w:p>
            <w:pPr>
              <w:pStyle w:val="TableContents"/>
              <w:widowControl w:val="false"/>
              <w:rPr>
                <w:rFonts w:ascii="arial" w:hAnsi="arial"/>
                <w:sz w:val="18"/>
                <w:szCs w:val="18"/>
              </w:rPr>
            </w:pPr>
            <w:r>
              <w:rPr>
                <w:rFonts w:ascii="arial" w:hAnsi="arial"/>
                <w:sz w:val="18"/>
                <w:szCs w:val="18"/>
              </w:rPr>
              <w:t xml:space="preserve"> </w:t>
            </w:r>
            <w:r>
              <w:rPr>
                <w:rFonts w:ascii="arial" w:hAnsi="arial"/>
                <w:sz w:val="18"/>
                <w:szCs w:val="18"/>
              </w:rPr>
              <w:t>NTA AP Invoice Confirm</w:t>
            </w:r>
          </w:p>
        </w:tc>
      </w:tr>
    </w:tbl>
    <w:p>
      <w:pPr>
        <w:pStyle w:val="Normal"/>
        <w:bidi w:val="0"/>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b/>
          <w:bCs/>
          <w:sz w:val="18"/>
          <w:szCs w:val="18"/>
        </w:rPr>
        <w:t>Description :</w:t>
      </w:r>
    </w:p>
    <w:p>
      <w:pPr>
        <w:pStyle w:val="Normal"/>
        <w:bidi w:val="0"/>
        <w:jc w:val="left"/>
        <w:rPr>
          <w:rFonts w:ascii="arial" w:hAnsi="arial"/>
          <w:sz w:val="18"/>
          <w:szCs w:val="18"/>
        </w:rPr>
      </w:pPr>
      <w:r>
        <w:rPr>
          <w:rFonts w:ascii="arial" w:hAnsi="arial"/>
          <w:b w:val="false"/>
          <w:bCs w:val="false"/>
          <w:sz w:val="18"/>
          <w:szCs w:val="18"/>
        </w:rPr>
        <w:tab/>
      </w:r>
    </w:p>
    <w:p>
      <w:pPr>
        <w:pStyle w:val="Normal"/>
        <w:bidi w:val="0"/>
        <w:jc w:val="left"/>
        <w:rPr>
          <w:rFonts w:ascii="arial" w:hAnsi="arial"/>
          <w:sz w:val="18"/>
          <w:szCs w:val="18"/>
        </w:rPr>
      </w:pPr>
      <w:r>
        <w:rPr>
          <w:rFonts w:ascii="arial" w:hAnsi="arial"/>
          <w:b w:val="false"/>
          <w:bCs w:val="false"/>
          <w:sz w:val="18"/>
          <w:szCs w:val="18"/>
        </w:rPr>
        <w:tab/>
        <w:t>NTA AP Invoice Confirm screen is used to complete the NTA AP Invoice. The NTA AP Invoice transaction inprogress will be shown here, User have to complete the NTA  AP Invoice Confirm inorder to complete the NTA AP Invoice.</w:t>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b/>
          <w:bCs/>
          <w:sz w:val="18"/>
          <w:szCs w:val="18"/>
        </w:rPr>
        <w:t>Workflow Process :</w:t>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b/>
          <w:b/>
          <w:bCs/>
          <w:sz w:val="18"/>
          <w:szCs w:val="18"/>
        </w:rPr>
      </w:pPr>
      <w:r>
        <w:rPr>
          <w:rFonts w:ascii="arial" w:hAnsi="arial"/>
          <w:b/>
          <w:bCs/>
          <w:sz w:val="18"/>
          <w:szCs w:val="18"/>
        </w:rPr>
        <w:drawing>
          <wp:anchor behindDoc="0" distT="0" distB="0" distL="0" distR="0" simplePos="0" locked="0" layoutInCell="0" allowOverlap="1" relativeHeight="2">
            <wp:simplePos x="0" y="0"/>
            <wp:positionH relativeFrom="column">
              <wp:posOffset>589280</wp:posOffset>
            </wp:positionH>
            <wp:positionV relativeFrom="paragraph">
              <wp:posOffset>78740</wp:posOffset>
            </wp:positionV>
            <wp:extent cx="4807585" cy="679005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807585" cy="6790055"/>
                    </a:xfrm>
                    <a:prstGeom prst="rect">
                      <a:avLst/>
                    </a:prstGeom>
                  </pic:spPr>
                </pic:pic>
              </a:graphicData>
            </a:graphic>
          </wp:anchor>
        </w:drawing>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r>
        <w:br w:type="page"/>
      </w:r>
    </w:p>
    <w:p>
      <w:pPr>
        <w:pStyle w:val="Normal"/>
        <w:bidi w:val="0"/>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b/>
          <w:bCs/>
          <w:sz w:val="18"/>
          <w:szCs w:val="18"/>
        </w:rPr>
        <w:t>Business Rules :</w:t>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NTA AP Invoice Screen only Show in HQ.</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This Screen is used to complete NTA AP Invoice .</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There are two ways to do the NTA AP Invoice:</w:t>
      </w:r>
    </w:p>
    <w:p>
      <w:pPr>
        <w:pStyle w:val="Normal"/>
        <w:numPr>
          <w:ilvl w:val="1"/>
          <w:numId w:val="1"/>
        </w:numPr>
        <w:bidi w:val="0"/>
        <w:spacing w:lineRule="auto" w:line="276"/>
        <w:jc w:val="left"/>
        <w:rPr>
          <w:rFonts w:ascii="arial" w:hAnsi="arial"/>
          <w:sz w:val="18"/>
          <w:szCs w:val="18"/>
        </w:rPr>
      </w:pPr>
      <w:r>
        <w:rPr>
          <w:rFonts w:ascii="arial" w:hAnsi="arial"/>
          <w:b w:val="false"/>
          <w:bCs w:val="false"/>
          <w:sz w:val="18"/>
          <w:szCs w:val="18"/>
        </w:rPr>
        <w:t xml:space="preserve">Import </w:t>
      </w:r>
    </w:p>
    <w:p>
      <w:pPr>
        <w:pStyle w:val="Normal"/>
        <w:numPr>
          <w:ilvl w:val="1"/>
          <w:numId w:val="1"/>
        </w:numPr>
        <w:bidi w:val="0"/>
        <w:spacing w:lineRule="auto" w:line="276"/>
        <w:jc w:val="left"/>
        <w:rPr>
          <w:rFonts w:ascii="arial" w:hAnsi="arial"/>
          <w:sz w:val="18"/>
          <w:szCs w:val="18"/>
        </w:rPr>
      </w:pPr>
      <w:r>
        <w:rPr>
          <w:rFonts w:ascii="arial" w:hAnsi="arial"/>
          <w:b w:val="false"/>
          <w:bCs w:val="false"/>
          <w:sz w:val="18"/>
          <w:szCs w:val="18"/>
        </w:rPr>
        <w:t>Manual</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The first method is to import the invoice using file loader in HQ.</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The import Format is 3A NTA AP invoice.</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The imported file will be show in import invoice screen, from their the user should click import invoice to import the NTA AP Invoice to NTA AP Invoice screen.</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The second method is to manually create the NTA AP invoice in the NTA AP invoice screen.</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The user Should fill the mandatory field listed below to complete the NTA AP Invoice</w:t>
      </w:r>
    </w:p>
    <w:p>
      <w:pPr>
        <w:pStyle w:val="Normal"/>
        <w:numPr>
          <w:ilvl w:val="1"/>
          <w:numId w:val="1"/>
        </w:numPr>
        <w:bidi w:val="0"/>
        <w:spacing w:lineRule="auto" w:line="276"/>
        <w:jc w:val="left"/>
        <w:rPr>
          <w:rFonts w:ascii="arial" w:hAnsi="arial"/>
          <w:sz w:val="18"/>
          <w:szCs w:val="18"/>
        </w:rPr>
      </w:pPr>
      <w:r>
        <w:rPr>
          <w:rFonts w:ascii="arial" w:hAnsi="arial"/>
          <w:b w:val="false"/>
          <w:bCs w:val="false"/>
          <w:sz w:val="18"/>
          <w:szCs w:val="18"/>
        </w:rPr>
        <w:t>Invoice Type</w:t>
      </w:r>
    </w:p>
    <w:p>
      <w:pPr>
        <w:pStyle w:val="Normal"/>
        <w:numPr>
          <w:ilvl w:val="1"/>
          <w:numId w:val="1"/>
        </w:numPr>
        <w:bidi w:val="0"/>
        <w:spacing w:lineRule="auto" w:line="276"/>
        <w:jc w:val="left"/>
        <w:rPr>
          <w:rFonts w:ascii="arial" w:hAnsi="arial"/>
          <w:sz w:val="18"/>
          <w:szCs w:val="18"/>
        </w:rPr>
      </w:pPr>
      <w:r>
        <w:rPr>
          <w:rFonts w:ascii="arial" w:hAnsi="arial"/>
          <w:b w:val="false"/>
          <w:bCs w:val="false"/>
          <w:sz w:val="18"/>
          <w:szCs w:val="18"/>
        </w:rPr>
        <w:t>Date of Bill</w:t>
      </w:r>
    </w:p>
    <w:p>
      <w:pPr>
        <w:pStyle w:val="Normal"/>
        <w:numPr>
          <w:ilvl w:val="1"/>
          <w:numId w:val="1"/>
        </w:numPr>
        <w:bidi w:val="0"/>
        <w:spacing w:lineRule="auto" w:line="276"/>
        <w:jc w:val="left"/>
        <w:rPr>
          <w:rFonts w:ascii="arial" w:hAnsi="arial"/>
          <w:sz w:val="18"/>
          <w:szCs w:val="18"/>
        </w:rPr>
      </w:pPr>
      <w:r>
        <w:rPr>
          <w:rFonts w:ascii="arial" w:hAnsi="arial"/>
          <w:b w:val="false"/>
          <w:bCs w:val="false"/>
          <w:sz w:val="18"/>
          <w:szCs w:val="18"/>
        </w:rPr>
        <w:t>Business Partner</w:t>
      </w:r>
    </w:p>
    <w:p>
      <w:pPr>
        <w:pStyle w:val="Normal"/>
        <w:numPr>
          <w:ilvl w:val="1"/>
          <w:numId w:val="1"/>
        </w:numPr>
        <w:bidi w:val="0"/>
        <w:spacing w:lineRule="auto" w:line="276"/>
        <w:jc w:val="left"/>
        <w:rPr>
          <w:rFonts w:ascii="arial" w:hAnsi="arial"/>
          <w:sz w:val="18"/>
          <w:szCs w:val="18"/>
        </w:rPr>
      </w:pPr>
      <w:r>
        <w:rPr>
          <w:rFonts w:ascii="arial" w:hAnsi="arial"/>
          <w:b w:val="false"/>
          <w:bCs w:val="false"/>
          <w:sz w:val="18"/>
          <w:szCs w:val="18"/>
        </w:rPr>
        <w:t>Partner Location</w:t>
      </w:r>
    </w:p>
    <w:p>
      <w:pPr>
        <w:pStyle w:val="Normal"/>
        <w:numPr>
          <w:ilvl w:val="1"/>
          <w:numId w:val="1"/>
        </w:numPr>
        <w:bidi w:val="0"/>
        <w:spacing w:lineRule="auto" w:line="276"/>
        <w:jc w:val="left"/>
        <w:rPr>
          <w:rFonts w:ascii="arial" w:hAnsi="arial"/>
          <w:sz w:val="18"/>
          <w:szCs w:val="18"/>
        </w:rPr>
      </w:pPr>
      <w:r>
        <w:rPr>
          <w:rFonts w:ascii="arial" w:hAnsi="arial"/>
          <w:b w:val="false"/>
          <w:bCs w:val="false"/>
          <w:sz w:val="18"/>
          <w:szCs w:val="18"/>
        </w:rPr>
        <w:t>Attributes</w:t>
      </w:r>
    </w:p>
    <w:p>
      <w:pPr>
        <w:pStyle w:val="Normal"/>
        <w:numPr>
          <w:ilvl w:val="1"/>
          <w:numId w:val="1"/>
        </w:numPr>
        <w:bidi w:val="0"/>
        <w:spacing w:lineRule="auto" w:line="276"/>
        <w:jc w:val="left"/>
        <w:rPr>
          <w:rFonts w:ascii="arial" w:hAnsi="arial"/>
          <w:sz w:val="18"/>
          <w:szCs w:val="18"/>
        </w:rPr>
      </w:pPr>
      <w:r>
        <w:rPr>
          <w:rFonts w:ascii="arial" w:hAnsi="arial"/>
          <w:b w:val="false"/>
          <w:bCs w:val="false"/>
          <w:sz w:val="18"/>
          <w:szCs w:val="18"/>
        </w:rPr>
        <w:t>Price List</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After Adding lines in NTA AP Invoice click Complete to prepare the document.</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To complete the document go to NTA AP Invoice Confirm Screen.</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Click Complete to complete the NTA AP Invoice.</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After completing the NTA AP Invoice Confirm, the NTA AP Invoice is also completd.</w:t>
      </w:r>
    </w:p>
    <w:p>
      <w:pPr>
        <w:pStyle w:val="Normal"/>
        <w:numPr>
          <w:ilvl w:val="0"/>
          <w:numId w:val="0"/>
        </w:numPr>
        <w:bidi w:val="0"/>
        <w:ind w:left="0" w:hanging="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LibreOffice/7.3.7.2$Linux_X86_64 LibreOffice_project/30$Build-2</Application>
  <AppVersion>15.0000</AppVersion>
  <Pages>3</Pages>
  <Words>253</Words>
  <Characters>1117</Characters>
  <CharactersWithSpaces>1326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2024-12-11T14:42:22Z</dcterms:created>
  <dc:creator/>
  <dc:description/>
  <dc:language>en-IN</dc:language>
  <cp:lastModifiedBy/>
  <dcterms:modified xsi:type="dcterms:W3CDTF">2024-12-27T14:51:07Z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