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Print Batch Invoice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Print Batch Invoice is a form for generating XML for Promotion Invoice, Commercial Discount Invoice and Sales Credit Memo, which is sent to E-Invoice integration for acknowledgement.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9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access the Print Batch Invoice In Region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process singel invoice or multiple invoice in print batch invoice screen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maximum limit of invoice process at a time is 20.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Tick the check box CDI commercial discount invoice to load the commercial discount invoice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To load the sales credit memo tick the sales credit memo in the print batch invoice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Warehouse is mandatory for loading the invoices.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processing the invoice in print patch invoice screen a XML file will be attached in the invoice.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there are multiple invoice processed at the same time a singel XML will be generated for all the invoices and attached to first invoice the user selected.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sent for E invoice integration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Import dms order to import and export the XML for Einvoice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If the acknowledgement from einvoice has reversal the it will be updated in invoice.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2</Pages>
  <Words>213</Words>
  <Characters>1033</Characters>
  <CharactersWithSpaces>1218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2024-12-27T11:55:34Z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