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WEEK 5 DAY 7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sz w:val="20"/>
              </w:rPr>
              <w:t>Week 5 – Day 7 (Week 5 Summary Report)</w:t>
            </w:r>
          </w:p>
        </w:tc>
      </w:tr>
    </w:tbl>
    <w:p>
      <w:pPr>
        <w:spacing w:before="240" w:after="0"/>
      </w:pP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Introduction</w:t>
      </w:r>
    </w:p>
    <w:p>
      <w:r>
        <w:t>Week 5 focused on final dashboard documentation, trend analysis, executive reporting, project validation, and submission preparation. Documentation was completed to support dashboard development and provide management-level insights into the project's analytical findings.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Week 5 Activities</w:t>
      </w:r>
    </w:p>
    <w:p>
      <w:r>
        <w:t>The following activities were completed during Week 5:</w:t>
      </w:r>
    </w:p>
    <w:p>
      <w:pPr>
        <w:pStyle w:val="ListBullet"/>
        <w:spacing w:after="60"/>
      </w:pPr>
      <w:r>
        <w:t>Executive Dashboard documentation completed.</w:t>
      </w:r>
    </w:p>
    <w:p>
      <w:pPr>
        <w:pStyle w:val="ListBullet"/>
        <w:spacing w:after="60"/>
      </w:pPr>
      <w:r>
        <w:t>Trend Analysis documentation completed.</w:t>
      </w:r>
    </w:p>
    <w:p>
      <w:pPr>
        <w:pStyle w:val="ListBullet"/>
        <w:spacing w:after="60"/>
      </w:pPr>
      <w:r>
        <w:t>Management Summary documentation completed.</w:t>
      </w:r>
    </w:p>
    <w:p>
      <w:pPr>
        <w:pStyle w:val="ListBullet"/>
        <w:spacing w:after="60"/>
      </w:pPr>
      <w:r>
        <w:t>Dashboard validation completed.</w:t>
      </w:r>
    </w:p>
    <w:p>
      <w:pPr>
        <w:pStyle w:val="ListBullet"/>
        <w:spacing w:after="60"/>
      </w:pPr>
      <w:r>
        <w:t>Final dashboard evaluation completed.</w:t>
      </w:r>
    </w:p>
    <w:p>
      <w:pPr>
        <w:pStyle w:val="ListBullet"/>
        <w:spacing w:after="60"/>
      </w:pPr>
      <w:r>
        <w:t>Documentation review completed.</w:t>
      </w:r>
    </w:p>
    <w:p>
      <w:pPr>
        <w:pStyle w:val="ListBullet"/>
        <w:spacing w:after="60"/>
      </w:pPr>
      <w:r>
        <w:t>Week 5 summary prepared.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Dashboard Support</w:t>
      </w:r>
    </w:p>
    <w:p>
      <w:r>
        <w:t>The dashboard documentation supports the following visualizations:</w:t>
      </w:r>
    </w:p>
    <w:p>
      <w:pPr>
        <w:pStyle w:val="ListBullet"/>
        <w:spacing w:after="60"/>
      </w:pPr>
      <w:r>
        <w:t>Executive Dashboard</w:t>
      </w:r>
    </w:p>
    <w:p>
      <w:pPr>
        <w:pStyle w:val="ListBullet"/>
        <w:spacing w:after="60"/>
      </w:pPr>
      <w:r>
        <w:t>Trend Analysis Dashboard</w:t>
      </w:r>
    </w:p>
    <w:p>
      <w:pPr>
        <w:pStyle w:val="ListBullet"/>
        <w:spacing w:after="60"/>
      </w:pPr>
      <w:r>
        <w:t>Management Summary Dashboard</w:t>
      </w:r>
    </w:p>
    <w:p>
      <w:r>
        <w:t>These dashboards help present trust scores, application performance, risk indicators, and business insights in an interactive format.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Key Achievements</w:t>
      </w:r>
    </w:p>
    <w:p>
      <w:r>
        <w:t>The following objectives were achieved during Week 5:</w:t>
      </w:r>
    </w:p>
    <w:p>
      <w:pPr>
        <w:pStyle w:val="ListBullet"/>
        <w:spacing w:after="60"/>
      </w:pPr>
      <w:r>
        <w:t>Completed executive dashboard documentation.</w:t>
      </w:r>
    </w:p>
    <w:p>
      <w:pPr>
        <w:pStyle w:val="ListBullet"/>
        <w:spacing w:after="60"/>
      </w:pPr>
      <w:r>
        <w:t>Prepared trend analysis report.</w:t>
      </w:r>
    </w:p>
    <w:p>
      <w:pPr>
        <w:pStyle w:val="ListBullet"/>
        <w:spacing w:after="60"/>
      </w:pPr>
      <w:r>
        <w:t>Documented management dashboard observations.</w:t>
      </w:r>
    </w:p>
    <w:p>
      <w:pPr>
        <w:pStyle w:val="ListBullet"/>
        <w:spacing w:after="60"/>
      </w:pPr>
      <w:r>
        <w:t>Verified dashboard readiness.</w:t>
      </w:r>
    </w:p>
    <w:p>
      <w:pPr>
        <w:pStyle w:val="ListBullet"/>
        <w:spacing w:after="60"/>
      </w:pPr>
      <w:r>
        <w:t>Reviewed project documentation.</w:t>
      </w:r>
    </w:p>
    <w:p>
      <w:pPr>
        <w:pStyle w:val="ListBullet"/>
        <w:spacing w:after="60"/>
      </w:pPr>
      <w:r>
        <w:t>Prepared project for final submission.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Business Insights</w:t>
      </w:r>
    </w:p>
    <w:p>
      <w:r>
        <w:t>Key observations from the project include:</w:t>
      </w:r>
    </w:p>
    <w:p>
      <w:pPr>
        <w:pStyle w:val="ListBullet"/>
        <w:spacing w:after="60"/>
      </w:pPr>
      <w:r>
        <w:t>Trust scores help measure application reliability.</w:t>
      </w:r>
    </w:p>
    <w:p>
      <w:pPr>
        <w:pStyle w:val="ListBullet"/>
        <w:spacing w:after="60"/>
      </w:pPr>
      <w:r>
        <w:t>Dashboard visualizations simplify business analysis.</w:t>
      </w:r>
    </w:p>
    <w:p>
      <w:pPr>
        <w:pStyle w:val="ListBullet"/>
        <w:spacing w:after="60"/>
      </w:pPr>
      <w:r>
        <w:t>Customer reviews influence trust score calculations.</w:t>
      </w:r>
    </w:p>
    <w:p>
      <w:pPr>
        <w:pStyle w:val="ListBullet"/>
        <w:spacing w:after="60"/>
      </w:pPr>
      <w:r>
        <w:t>Risk indicators help identify applications requiring improvement.</w:t>
      </w:r>
    </w:p>
    <w:p>
      <w:pPr>
        <w:pStyle w:val="ListBullet"/>
        <w:spacing w:after="60"/>
      </w:pPr>
      <w:r>
        <w:t>Interactive dashboards improve decision-making.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Files Created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6"/>
        </w:rPr>
        <w:t>Documentation Team (Beulah)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22222"/>
          <w:sz w:val="22"/>
        </w:rPr>
        <w:t>Reports</w:t>
      </w:r>
    </w:p>
    <w:p>
      <w:pPr>
        <w:pStyle w:val="ListBullet"/>
        <w:spacing w:after="40"/>
      </w:pPr>
      <w:r>
        <w:t>Week5_Day1_Report.docx</w:t>
      </w:r>
    </w:p>
    <w:p>
      <w:pPr>
        <w:pStyle w:val="ListBullet"/>
        <w:spacing w:after="40"/>
      </w:pPr>
      <w:r>
        <w:t>Week5_Day2_Report.docx</w:t>
      </w:r>
    </w:p>
    <w:p>
      <w:pPr>
        <w:pStyle w:val="ListBullet"/>
        <w:spacing w:after="40"/>
      </w:pPr>
      <w:r>
        <w:t>Week5_Day3_Report.docx</w:t>
      </w:r>
    </w:p>
    <w:p>
      <w:pPr>
        <w:pStyle w:val="ListBullet"/>
        <w:spacing w:after="40"/>
      </w:pPr>
      <w:r>
        <w:t>Week5_Day4_Report.docx</w:t>
      </w:r>
    </w:p>
    <w:p>
      <w:pPr>
        <w:pStyle w:val="ListBullet"/>
        <w:spacing w:after="40"/>
      </w:pPr>
      <w:r>
        <w:t>Week5_Day5_Report.docx</w:t>
      </w:r>
    </w:p>
    <w:p>
      <w:pPr>
        <w:pStyle w:val="ListBullet"/>
        <w:spacing w:after="40"/>
      </w:pPr>
      <w:r>
        <w:t>Week5_Day6_Report.docx</w:t>
      </w:r>
    </w:p>
    <w:p>
      <w:pPr>
        <w:pStyle w:val="ListBullet"/>
        <w:spacing w:after="40"/>
      </w:pPr>
      <w:r>
        <w:t>Week5_Day7_Report.docx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22222"/>
          <w:sz w:val="22"/>
        </w:rPr>
        <w:t>Documentation Files</w:t>
      </w:r>
    </w:p>
    <w:p>
      <w:pPr>
        <w:pStyle w:val="ListBullet"/>
        <w:spacing w:after="40"/>
      </w:pPr>
      <w:r>
        <w:t>executive_dashboard_analysis.txt</w:t>
      </w:r>
    </w:p>
    <w:p>
      <w:pPr>
        <w:pStyle w:val="ListBullet"/>
        <w:spacing w:after="40"/>
      </w:pPr>
      <w:r>
        <w:t>trend_analysis_report.txt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22222"/>
          <w:sz w:val="22"/>
        </w:rPr>
        <w:t>Screenshots</w:t>
      </w:r>
    </w:p>
    <w:p>
      <w:pPr>
        <w:pStyle w:val="ListBullet"/>
        <w:spacing w:after="40"/>
      </w:pPr>
      <w:r>
        <w:t>executive_dashboard.png</w:t>
      </w:r>
    </w:p>
    <w:p>
      <w:pPr>
        <w:pStyle w:val="ListBullet"/>
        <w:spacing w:after="40"/>
      </w:pPr>
      <w:r>
        <w:t>trend_analysis.png</w:t>
      </w:r>
    </w:p>
    <w:p>
      <w:pPr>
        <w:pStyle w:val="ListBullet"/>
        <w:spacing w:after="40"/>
      </w:pPr>
      <w:r>
        <w:t>management_summary.png</w:t>
      </w:r>
    </w:p>
    <w:p>
      <w:pPr>
        <w:keepNext/>
        <w:spacing w:before="240" w:after="80"/>
      </w:pPr>
      <w:r>
        <w:rPr>
          <w:rFonts w:ascii="Arial" w:hAnsi="Arial"/>
          <w:b/>
          <w:color w:val="5C768D"/>
          <w:sz w:val="26"/>
        </w:rPr>
        <w:t>Technical Team (Santhosh)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22222"/>
          <w:sz w:val="22"/>
        </w:rPr>
        <w:t>SQL Files</w:t>
      </w:r>
    </w:p>
    <w:p>
      <w:pPr>
        <w:pStyle w:val="ListBullet"/>
        <w:spacing w:after="40"/>
      </w:pPr>
      <w:r>
        <w:t>week5_day1_reliability_classification.sql</w:t>
      </w:r>
    </w:p>
    <w:p>
      <w:pPr>
        <w:pStyle w:val="ListBullet"/>
        <w:spacing w:after="40"/>
      </w:pPr>
      <w:r>
        <w:t>week5_day2_reliability_distribution.sql</w:t>
      </w:r>
    </w:p>
    <w:p>
      <w:pPr>
        <w:pStyle w:val="ListBullet"/>
        <w:spacing w:after="40"/>
      </w:pPr>
      <w:r>
        <w:t>week5_day3_reliability_percentage.sql</w:t>
      </w:r>
    </w:p>
    <w:p>
      <w:pPr>
        <w:pStyle w:val="ListBullet"/>
        <w:spacing w:after="40"/>
      </w:pPr>
      <w:r>
        <w:t>week5_day4_reliability_ranking.sql</w:t>
      </w:r>
    </w:p>
    <w:p>
      <w:pPr>
        <w:pStyle w:val="ListBullet"/>
        <w:spacing w:after="40"/>
      </w:pPr>
      <w:r>
        <w:t>week5_day5_reliability_statistics.sql</w:t>
      </w:r>
    </w:p>
    <w:p>
      <w:pPr>
        <w:pStyle w:val="ListBullet"/>
        <w:spacing w:after="40"/>
      </w:pPr>
      <w:r>
        <w:t>week5_day6_performance_groups.sql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22222"/>
          <w:sz w:val="22"/>
        </w:rPr>
        <w:t>Documentation Files</w:t>
      </w:r>
    </w:p>
    <w:p>
      <w:pPr>
        <w:pStyle w:val="ListBullet"/>
        <w:spacing w:after="40"/>
      </w:pPr>
      <w:r>
        <w:t>reliability_classification_analysis.txt</w:t>
      </w:r>
    </w:p>
    <w:p>
      <w:pPr>
        <w:pStyle w:val="ListBullet"/>
        <w:spacing w:after="40"/>
      </w:pPr>
      <w:r>
        <w:t>reliability_distribution_analysis.txt</w:t>
      </w:r>
    </w:p>
    <w:p>
      <w:pPr>
        <w:pStyle w:val="ListBullet"/>
        <w:spacing w:after="40"/>
      </w:pPr>
      <w:r>
        <w:t>reliability_percentage_analysis.txt</w:t>
      </w:r>
    </w:p>
    <w:p>
      <w:pPr>
        <w:pStyle w:val="ListBullet"/>
        <w:spacing w:after="40"/>
      </w:pPr>
      <w:r>
        <w:t>reliability_ranking_analysis.txt</w:t>
      </w:r>
    </w:p>
    <w:p>
      <w:pPr>
        <w:pStyle w:val="ListBullet"/>
        <w:spacing w:after="40"/>
      </w:pPr>
      <w:r>
        <w:t>reliability_statistics_analysis.txt</w:t>
      </w:r>
    </w:p>
    <w:p>
      <w:pPr>
        <w:pStyle w:val="ListBullet"/>
        <w:spacing w:after="40"/>
      </w:pPr>
      <w:r>
        <w:t>performance_groups_analysis.txt</w:t>
      </w:r>
    </w:p>
    <w:p>
      <w:pPr>
        <w:pStyle w:val="ListBullet"/>
        <w:spacing w:after="40"/>
      </w:pPr>
      <w:r>
        <w:t>Week5CompletionReport.docx</w:t>
      </w:r>
    </w:p>
    <w:p>
      <w:pPr>
        <w:pStyle w:val="ListBullet"/>
        <w:spacing w:after="40"/>
      </w:pPr>
      <w:r>
        <w:t>week5_files_created.txt</w:t>
      </w:r>
    </w:p>
    <w:p>
      <w:pPr>
        <w:keepNext/>
        <w:spacing w:before="280" w:after="12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2"/>
        </w:rPr>
        <w:t>Conclusion</w:t>
      </w:r>
    </w:p>
    <w:p>
      <w:r>
        <w:t>Week 5 successfully completed the documentation and reporting activities for the Dark Pattern Impact Analytics &amp; Trust Score System project. Dashboard documentation, business insights, validation reports, and supporting documents were organized for final project submission. The project is now fully prepared for presentation and academic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