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WEEK 6 DAY 7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6 – Day 7 (Week 6 Summary Report)</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Week 6 focused on business-oriented documentation, management insights, decision support, and case study analysis. The activities completed during this week strengthened the project's documentation by converting analytical findings into practical business recommendations and strategic guidance.</w:t>
      </w:r>
    </w:p>
    <w:p>
      <w:pPr>
        <w:keepNext/>
        <w:spacing w:before="280" w:after="80"/>
        <w:pBdr>
          <w:bottom w:val="single" w:sz="12" w:space="4" w:color="5C768D"/>
        </w:pBdr>
      </w:pPr>
      <w:r>
        <w:rPr>
          <w:rFonts w:ascii="Arial" w:hAnsi="Arial"/>
          <w:b/>
          <w:color w:val="1B365D"/>
          <w:sz w:val="30"/>
        </w:rPr>
        <w:t>Week 6 Activities</w:t>
      </w:r>
    </w:p>
    <w:p>
      <w:r>
        <w:t>The following activities were successfully completed during Week 6:</w:t>
      </w:r>
    </w:p>
    <w:p>
      <w:pPr>
        <w:keepNext/>
        <w:spacing w:before="200" w:after="80"/>
      </w:pPr>
      <w:r>
        <w:rPr>
          <w:rFonts w:ascii="Arial" w:hAnsi="Arial"/>
          <w:b/>
          <w:color w:val="5C768D"/>
          <w:sz w:val="25"/>
        </w:rPr>
        <w:t>Documentation Activities</w:t>
      </w:r>
    </w:p>
    <w:p>
      <w:pPr>
        <w:pStyle w:val="ListBullet"/>
        <w:spacing w:after="60"/>
      </w:pPr>
      <w:r>
        <w:t>Business Recommendations prepared.</w:t>
      </w:r>
    </w:p>
    <w:p>
      <w:pPr>
        <w:pStyle w:val="ListBullet"/>
        <w:spacing w:after="60"/>
      </w:pPr>
      <w:r>
        <w:t>Management Insights documented.</w:t>
      </w:r>
    </w:p>
    <w:p>
      <w:pPr>
        <w:pStyle w:val="ListBullet"/>
        <w:spacing w:after="60"/>
      </w:pPr>
      <w:r>
        <w:t>Decision Support Report completed.</w:t>
      </w:r>
    </w:p>
    <w:p>
      <w:pPr>
        <w:pStyle w:val="ListBullet"/>
        <w:spacing w:after="60"/>
      </w:pPr>
      <w:r>
        <w:t>Case Study Report prepared.</w:t>
      </w:r>
    </w:p>
    <w:p>
      <w:pPr>
        <w:pStyle w:val="ListBullet"/>
        <w:spacing w:after="60"/>
      </w:pPr>
      <w:r>
        <w:t>Project Review completed.</w:t>
      </w:r>
    </w:p>
    <w:p>
      <w:pPr>
        <w:pStyle w:val="ListBullet"/>
        <w:spacing w:after="60"/>
      </w:pPr>
      <w:r>
        <w:t>Documentation Review completed.</w:t>
      </w:r>
    </w:p>
    <w:p>
      <w:pPr>
        <w:pStyle w:val="ListBullet"/>
        <w:spacing w:after="60"/>
      </w:pPr>
      <w:r>
        <w:t>Week 6 Summary prepared.</w:t>
      </w:r>
    </w:p>
    <w:p>
      <w:pPr>
        <w:keepNext/>
        <w:spacing w:before="280" w:after="80"/>
        <w:pBdr>
          <w:bottom w:val="single" w:sz="12" w:space="4" w:color="5C768D"/>
        </w:pBdr>
      </w:pPr>
      <w:r>
        <w:rPr>
          <w:rFonts w:ascii="Arial" w:hAnsi="Arial"/>
          <w:b/>
          <w:color w:val="1B365D"/>
          <w:sz w:val="30"/>
        </w:rPr>
        <w:t>Key Outcomes</w:t>
      </w:r>
    </w:p>
    <w:p>
      <w:r>
        <w:t>The major outcomes of Week 6 include:</w:t>
      </w:r>
    </w:p>
    <w:p>
      <w:pPr>
        <w:pStyle w:val="ListBullet"/>
        <w:spacing w:after="60"/>
      </w:pPr>
      <w:r>
        <w:t>Business recommendations for improving application transparency.</w:t>
      </w:r>
    </w:p>
    <w:p>
      <w:pPr>
        <w:pStyle w:val="ListBullet"/>
        <w:spacing w:after="60"/>
      </w:pPr>
      <w:r>
        <w:t>Management insights based on trust score analytics.</w:t>
      </w:r>
    </w:p>
    <w:p>
      <w:pPr>
        <w:pStyle w:val="ListBullet"/>
        <w:spacing w:after="60"/>
      </w:pPr>
      <w:r>
        <w:t>Decision support documentation for business planning.</w:t>
      </w:r>
    </w:p>
    <w:p>
      <w:pPr>
        <w:pStyle w:val="ListBullet"/>
        <w:spacing w:after="60"/>
      </w:pPr>
      <w:r>
        <w:t>Practical case study demonstrating project implementation.</w:t>
      </w:r>
    </w:p>
    <w:p>
      <w:pPr>
        <w:pStyle w:val="ListBullet"/>
        <w:spacing w:after="60"/>
      </w:pPr>
      <w:r>
        <w:t>Strategic recommendations for future improvements.</w:t>
      </w:r>
    </w:p>
    <w:p>
      <w:pPr>
        <w:keepNext/>
        <w:spacing w:before="280" w:after="80"/>
        <w:pBdr>
          <w:bottom w:val="single" w:sz="12" w:space="4" w:color="5C768D"/>
        </w:pBdr>
      </w:pPr>
      <w:r>
        <w:rPr>
          <w:rFonts w:ascii="Arial" w:hAnsi="Arial"/>
          <w:b/>
          <w:color w:val="1B365D"/>
          <w:sz w:val="30"/>
        </w:rPr>
        <w:t>Business Insights</w:t>
      </w:r>
    </w:p>
    <w:p>
      <w:r>
        <w:t>The project generated the following important business insights:</w:t>
      </w:r>
    </w:p>
    <w:p>
      <w:pPr>
        <w:pStyle w:val="ListBullet"/>
        <w:spacing w:after="60"/>
      </w:pPr>
      <w:r>
        <w:t>Transparent application design increases customer trust.</w:t>
      </w:r>
    </w:p>
    <w:p>
      <w:pPr>
        <w:pStyle w:val="ListBullet"/>
        <w:spacing w:after="60"/>
      </w:pPr>
      <w:r>
        <w:t>Trust score analytics support better decision-making.</w:t>
      </w:r>
    </w:p>
    <w:p>
      <w:pPr>
        <w:pStyle w:val="ListBullet"/>
        <w:spacing w:after="60"/>
      </w:pPr>
      <w:r>
        <w:t>Customer feedback improves service quality.</w:t>
      </w:r>
    </w:p>
    <w:p>
      <w:pPr>
        <w:pStyle w:val="ListBullet"/>
        <w:spacing w:after="60"/>
      </w:pPr>
      <w:r>
        <w:t>Dashboard analytics simplify performance evaluation.</w:t>
      </w:r>
    </w:p>
    <w:p>
      <w:pPr>
        <w:pStyle w:val="ListBullet"/>
        <w:spacing w:after="60"/>
      </w:pPr>
      <w:r>
        <w:t>Ethical application design enhances long-term business success.</w:t>
      </w:r>
    </w:p>
    <w:p>
      <w:pPr>
        <w:keepNext/>
        <w:spacing w:before="280" w:after="80"/>
        <w:pBdr>
          <w:bottom w:val="single" w:sz="12" w:space="4" w:color="5C768D"/>
        </w:pBdr>
      </w:pPr>
      <w:r>
        <w:rPr>
          <w:rFonts w:ascii="Arial" w:hAnsi="Arial"/>
          <w:b/>
          <w:color w:val="1B365D"/>
          <w:sz w:val="30"/>
        </w:rPr>
        <w:t>Project Contributions</w:t>
      </w:r>
    </w:p>
    <w:p>
      <w:pPr>
        <w:keepNext/>
        <w:spacing w:before="200" w:after="80"/>
      </w:pPr>
      <w:r>
        <w:rPr>
          <w:rFonts w:ascii="Arial" w:hAnsi="Arial"/>
          <w:b/>
          <w:color w:val="5C768D"/>
          <w:sz w:val="25"/>
        </w:rPr>
        <w:t>Documentation</w:t>
      </w:r>
    </w:p>
    <w:p>
      <w:pPr>
        <w:pStyle w:val="ListBullet"/>
        <w:spacing w:after="60"/>
      </w:pPr>
      <w:r>
        <w:t>Business Recommendations</w:t>
      </w:r>
    </w:p>
    <w:p>
      <w:pPr>
        <w:pStyle w:val="ListBullet"/>
        <w:spacing w:after="60"/>
      </w:pPr>
      <w:r>
        <w:t>Management Insights</w:t>
      </w:r>
    </w:p>
    <w:p>
      <w:pPr>
        <w:pStyle w:val="ListBullet"/>
        <w:spacing w:after="60"/>
      </w:pPr>
      <w:r>
        <w:t>Decision Support Report</w:t>
      </w:r>
    </w:p>
    <w:p>
      <w:pPr>
        <w:pStyle w:val="ListBullet"/>
        <w:spacing w:after="60"/>
      </w:pPr>
      <w:r>
        <w:t>Case Study Report</w:t>
      </w:r>
    </w:p>
    <w:p>
      <w:pPr>
        <w:pStyle w:val="ListBullet"/>
        <w:spacing w:after="60"/>
      </w:pPr>
      <w:r>
        <w:t>Daily Project Reports</w:t>
      </w:r>
    </w:p>
    <w:p>
      <w:pPr>
        <w:keepNext/>
        <w:spacing w:before="200" w:after="80"/>
      </w:pPr>
      <w:r>
        <w:rPr>
          <w:rFonts w:ascii="Arial" w:hAnsi="Arial"/>
          <w:b/>
          <w:color w:val="5C768D"/>
          <w:sz w:val="25"/>
        </w:rPr>
        <w:t>Business Support</w:t>
      </w:r>
    </w:p>
    <w:p>
      <w:pPr>
        <w:pStyle w:val="ListBullet"/>
        <w:spacing w:after="60"/>
      </w:pPr>
      <w:r>
        <w:t>Strategic recommendations</w:t>
      </w:r>
    </w:p>
    <w:p>
      <w:pPr>
        <w:pStyle w:val="ListBullet"/>
        <w:spacing w:after="60"/>
      </w:pPr>
      <w:r>
        <w:t>Decision-making guidance</w:t>
      </w:r>
    </w:p>
    <w:p>
      <w:pPr>
        <w:pStyle w:val="ListBullet"/>
        <w:spacing w:after="60"/>
      </w:pPr>
      <w:r>
        <w:t>Customer trust improvement strategies</w:t>
      </w:r>
    </w:p>
    <w:p>
      <w:pPr>
        <w:pStyle w:val="ListBullet"/>
        <w:spacing w:after="60"/>
      </w:pPr>
      <w:r>
        <w:t>Risk reduction recommendations</w:t>
      </w:r>
    </w:p>
    <w:p>
      <w:pPr>
        <w:keepNext/>
        <w:spacing w:before="280" w:after="80"/>
        <w:pBdr>
          <w:bottom w:val="single" w:sz="12" w:space="4" w:color="5C768D"/>
        </w:pBdr>
      </w:pPr>
      <w:r>
        <w:rPr>
          <w:rFonts w:ascii="Arial" w:hAnsi="Arial"/>
          <w:b/>
          <w:color w:val="1B365D"/>
          <w:sz w:val="30"/>
        </w:rPr>
        <w:t>Files Created</w:t>
      </w:r>
    </w:p>
    <w:p>
      <w:pPr>
        <w:keepNext/>
        <w:spacing w:before="200" w:after="80"/>
      </w:pPr>
      <w:r>
        <w:rPr>
          <w:rFonts w:ascii="Arial" w:hAnsi="Arial"/>
          <w:b/>
          <w:color w:val="5C768D"/>
          <w:sz w:val="25"/>
        </w:rPr>
        <w:t>Documentation Team (Beulah)</w:t>
      </w:r>
    </w:p>
    <w:p>
      <w:pPr>
        <w:pStyle w:val="ListBullet"/>
        <w:spacing w:after="40"/>
      </w:pPr>
      <w:r>
        <w:t>Week6_Day1_Report.docx</w:t>
      </w:r>
    </w:p>
    <w:p>
      <w:pPr>
        <w:pStyle w:val="ListBullet"/>
        <w:spacing w:after="40"/>
      </w:pPr>
      <w:r>
        <w:t>Week6_Day2_Report.docx</w:t>
      </w:r>
    </w:p>
    <w:p>
      <w:pPr>
        <w:pStyle w:val="ListBullet"/>
        <w:spacing w:after="40"/>
      </w:pPr>
      <w:r>
        <w:t>decision_support_report.docx</w:t>
      </w:r>
    </w:p>
    <w:p>
      <w:pPr>
        <w:pStyle w:val="ListBullet"/>
        <w:spacing w:after="40"/>
      </w:pPr>
      <w:r>
        <w:t>case_study_report.docx</w:t>
      </w:r>
    </w:p>
    <w:p>
      <w:pPr>
        <w:pStyle w:val="ListBullet"/>
        <w:spacing w:after="40"/>
      </w:pPr>
      <w:r>
        <w:t>Week6_Day5_Report.docx</w:t>
      </w:r>
    </w:p>
    <w:p>
      <w:pPr>
        <w:pStyle w:val="ListBullet"/>
        <w:spacing w:after="40"/>
      </w:pPr>
      <w:r>
        <w:t>Week6_Day6_Report.docx</w:t>
      </w:r>
    </w:p>
    <w:p>
      <w:pPr>
        <w:pStyle w:val="ListBullet"/>
        <w:spacing w:after="40"/>
      </w:pPr>
      <w:r>
        <w:t>Week6_Day7_Report.docx</w:t>
      </w:r>
    </w:p>
    <w:p>
      <w:pPr>
        <w:pStyle w:val="ListBullet"/>
        <w:spacing w:after="40"/>
      </w:pPr>
      <w:r>
        <w:t>business_recommendations.txt</w:t>
      </w:r>
    </w:p>
    <w:p>
      <w:pPr>
        <w:pStyle w:val="ListBullet"/>
        <w:spacing w:after="40"/>
      </w:pPr>
      <w:r>
        <w:t>management_insights.txt</w:t>
      </w:r>
    </w:p>
    <w:p>
      <w:pPr>
        <w:keepNext/>
        <w:spacing w:before="240" w:after="80"/>
      </w:pPr>
      <w:r>
        <w:rPr>
          <w:rFonts w:ascii="Arial" w:hAnsi="Arial"/>
          <w:b/>
          <w:color w:val="5C768D"/>
          <w:sz w:val="25"/>
        </w:rPr>
        <w:t>Technical Team (Santhosh)</w:t>
      </w:r>
    </w:p>
    <w:p>
      <w:pPr>
        <w:keepNext/>
        <w:spacing w:before="120" w:after="40"/>
      </w:pPr>
      <w:r>
        <w:rPr>
          <w:rFonts w:ascii="Arial" w:hAnsi="Arial"/>
          <w:b/>
          <w:i/>
          <w:color w:val="222222"/>
          <w:sz w:val="22"/>
        </w:rPr>
        <w:t>SQL Files</w:t>
      </w:r>
    </w:p>
    <w:p>
      <w:pPr>
        <w:pStyle w:val="ListBullet"/>
        <w:spacing w:after="40"/>
      </w:pPr>
      <w:r>
        <w:t>week6_day1_business_recommendations.sql</w:t>
      </w:r>
    </w:p>
    <w:p>
      <w:pPr>
        <w:pStyle w:val="ListBullet"/>
        <w:spacing w:after="40"/>
      </w:pPr>
      <w:r>
        <w:t>week6_day2_management_priority.sql</w:t>
      </w:r>
    </w:p>
    <w:p>
      <w:pPr>
        <w:pStyle w:val="ListBullet"/>
        <w:spacing w:after="40"/>
      </w:pPr>
      <w:r>
        <w:t>week6_day3_executive_summary.sql</w:t>
      </w:r>
    </w:p>
    <w:p>
      <w:pPr>
        <w:pStyle w:val="ListBullet"/>
        <w:spacing w:after="40"/>
      </w:pPr>
      <w:r>
        <w:t>week6_day4_improvement_opportunities.sql</w:t>
      </w:r>
    </w:p>
    <w:p>
      <w:pPr>
        <w:pStyle w:val="ListBullet"/>
        <w:spacing w:after="40"/>
      </w:pPr>
      <w:r>
        <w:t>week6_day5_action_plan.sql</w:t>
      </w:r>
    </w:p>
    <w:p>
      <w:pPr>
        <w:pStyle w:val="ListBullet"/>
        <w:spacing w:after="40"/>
      </w:pPr>
      <w:r>
        <w:t>week6_day6_strategic_insights.sql</w:t>
      </w:r>
    </w:p>
    <w:p>
      <w:pPr>
        <w:keepNext/>
        <w:spacing w:before="120" w:after="40"/>
      </w:pPr>
      <w:r>
        <w:rPr>
          <w:rFonts w:ascii="Arial" w:hAnsi="Arial"/>
          <w:b/>
          <w:i/>
          <w:color w:val="222222"/>
          <w:sz w:val="22"/>
        </w:rPr>
        <w:t>Documentation Files</w:t>
      </w:r>
    </w:p>
    <w:p>
      <w:pPr>
        <w:pStyle w:val="ListBullet"/>
        <w:spacing w:after="40"/>
      </w:pPr>
      <w:r>
        <w:t>business_recommendations_analysis.txt</w:t>
      </w:r>
    </w:p>
    <w:p>
      <w:pPr>
        <w:pStyle w:val="ListBullet"/>
        <w:spacing w:after="40"/>
      </w:pPr>
      <w:r>
        <w:t>management_priority_analysis.txt</w:t>
      </w:r>
    </w:p>
    <w:p>
      <w:pPr>
        <w:pStyle w:val="ListBullet"/>
        <w:spacing w:after="40"/>
      </w:pPr>
      <w:r>
        <w:t>executive_summary_analysis.txt</w:t>
      </w:r>
    </w:p>
    <w:p>
      <w:pPr>
        <w:pStyle w:val="ListBullet"/>
        <w:spacing w:after="40"/>
      </w:pPr>
      <w:r>
        <w:t>improvement_opportunities_analysis.txt</w:t>
      </w:r>
    </w:p>
    <w:p>
      <w:pPr>
        <w:pStyle w:val="ListBullet"/>
        <w:spacing w:after="40"/>
      </w:pPr>
      <w:r>
        <w:t>action_plan_analysis.txt</w:t>
      </w:r>
    </w:p>
    <w:p>
      <w:pPr>
        <w:pStyle w:val="ListBullet"/>
        <w:spacing w:after="40"/>
      </w:pPr>
      <w:r>
        <w:t>strategic_insights_analysis.txt</w:t>
      </w:r>
    </w:p>
    <w:p>
      <w:pPr>
        <w:pStyle w:val="ListBullet"/>
        <w:spacing w:after="40"/>
      </w:pPr>
      <w:r>
        <w:t>Week6CompletionReport.docx</w:t>
      </w:r>
    </w:p>
    <w:p>
      <w:pPr>
        <w:pStyle w:val="ListBullet"/>
        <w:spacing w:after="40"/>
      </w:pPr>
      <w:r>
        <w:t>week6_files_created.txt</w:t>
      </w:r>
    </w:p>
    <w:p>
      <w:pPr>
        <w:keepNext/>
        <w:spacing w:before="280" w:after="80"/>
        <w:pBdr>
          <w:bottom w:val="single" w:sz="12" w:space="4" w:color="5C768D"/>
        </w:pBdr>
      </w:pPr>
      <w:r>
        <w:rPr>
          <w:rFonts w:ascii="Arial" w:hAnsi="Arial"/>
          <w:b/>
          <w:color w:val="1B365D"/>
          <w:sz w:val="30"/>
        </w:rPr>
        <w:t>Conclusion</w:t>
      </w:r>
    </w:p>
    <w:p>
      <w:r>
        <w:t>Week 6 successfully enhanced the project's business documentation through recommendations, management insights, decision support analysis, and case study reporting. These deliverables complement the technical implementation and prepare the project for the final documentation phase in Week 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