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B365D"/>
          <w:sz w:val="44"/>
        </w:rPr>
        <w:t>DECISION SUPPORT REPORT</w:t>
      </w:r>
    </w:p>
    <w:tbl>
      <w:tblPr>
        <w:tblW w:type="auto" w:w="0"/>
        <w:tblLayout w:type="fixed"/>
        <w:tblLook w:firstColumn="1" w:firstRow="1" w:lastColumn="0" w:lastRow="0" w:noHBand="0" w:noVBand="1" w:val="04A0"/>
      </w:tblPr>
      <w:tblGrid>
        <w:gridCol w:w="2160"/>
        <w:gridCol w:w="7200"/>
      </w:tblGrid>
      <w:tr>
        <w:tc>
          <w:tcPr>
            <w:tcW w:type="dxa" w:w="4680"/>
            <w:shd w:fill="F4F6F8"/>
            <w:tcBorders>
              <w:top w:val="none"/>
              <w:left w:val="none"/>
              <w:bottom w:val="none"/>
              <w:right w:val="none"/>
            </w:tcBorders>
          </w:tcPr>
          <w:p>
            <w:pPr>
              <w:spacing w:after="40" w:before="40"/>
            </w:pPr>
            <w:r>
              <w:rPr>
                <w:b/>
                <w:color w:val="5C768D"/>
                <w:sz w:val="20"/>
              </w:rPr>
              <w:t>Project:</w:t>
            </w:r>
          </w:p>
        </w:tc>
        <w:tc>
          <w:tcPr>
            <w:tcW w:type="dxa" w:w="4680"/>
            <w:shd w:fill="F4F6F8"/>
            <w:tcBorders>
              <w:top w:val="none"/>
              <w:left w:val="none"/>
              <w:bottom w:val="none"/>
              <w:right w:val="none"/>
            </w:tcBorders>
          </w:tcPr>
          <w:p>
            <w:pPr>
              <w:spacing w:after="40" w:before="40"/>
            </w:pPr>
            <w:r>
              <w:rPr>
                <w:sz w:val="20"/>
              </w:rPr>
              <w:t>Dark Pattern Impact Analytics &amp; Trust Score System</w:t>
            </w:r>
          </w:p>
        </w:tc>
      </w:tr>
      <w:tr>
        <w:tc>
          <w:tcPr>
            <w:tcW w:type="dxa" w:w="4680"/>
            <w:shd w:fill="F4F6F8"/>
            <w:tcBorders>
              <w:top w:val="none"/>
              <w:left w:val="none"/>
              <w:bottom w:val="none"/>
              <w:right w:val="none"/>
            </w:tcBorders>
          </w:tcPr>
          <w:p>
            <w:pPr>
              <w:spacing w:after="40" w:before="40"/>
            </w:pPr>
            <w:r>
              <w:rPr>
                <w:b/>
                <w:color w:val="5C768D"/>
                <w:sz w:val="20"/>
              </w:rPr>
              <w:t>Prepared By:</w:t>
            </w:r>
          </w:p>
        </w:tc>
        <w:tc>
          <w:tcPr>
            <w:tcW w:type="dxa" w:w="4680"/>
            <w:shd w:fill="F4F6F8"/>
            <w:tcBorders>
              <w:top w:val="none"/>
              <w:left w:val="none"/>
              <w:bottom w:val="none"/>
              <w:right w:val="none"/>
            </w:tcBorders>
          </w:tcPr>
          <w:p>
            <w:pPr>
              <w:spacing w:after="40" w:before="40"/>
            </w:pPr>
            <w:r>
              <w:rPr>
                <w:sz w:val="20"/>
              </w:rPr>
              <w:t>Beulah (Documentation &amp; Research Team Member)</w:t>
            </w:r>
          </w:p>
        </w:tc>
      </w:tr>
      <w:tr>
        <w:tc>
          <w:tcPr>
            <w:tcW w:type="dxa" w:w="4680"/>
            <w:shd w:fill="F4F6F8"/>
            <w:tcBorders>
              <w:top w:val="none"/>
              <w:left w:val="none"/>
              <w:bottom w:val="none"/>
              <w:right w:val="none"/>
            </w:tcBorders>
          </w:tcPr>
          <w:p>
            <w:pPr>
              <w:spacing w:after="40" w:before="40"/>
            </w:pPr>
            <w:r>
              <w:rPr>
                <w:b/>
                <w:color w:val="5C768D"/>
                <w:sz w:val="20"/>
              </w:rPr>
              <w:t>Timeline:</w:t>
            </w:r>
          </w:p>
        </w:tc>
        <w:tc>
          <w:tcPr>
            <w:tcW w:type="dxa" w:w="4680"/>
            <w:shd w:fill="F4F6F8"/>
            <w:tcBorders>
              <w:top w:val="none"/>
              <w:left w:val="none"/>
              <w:bottom w:val="none"/>
              <w:right w:val="none"/>
            </w:tcBorders>
          </w:tcPr>
          <w:p>
            <w:pPr>
              <w:spacing w:after="40" w:before="40"/>
            </w:pPr>
            <w:r>
              <w:rPr>
                <w:sz w:val="20"/>
              </w:rPr>
              <w:t>Week 6 – Day 3 (Decision Support Report)</w:t>
            </w:r>
          </w:p>
        </w:tc>
      </w:tr>
    </w:tbl>
    <w:p>
      <w:pPr>
        <w:spacing w:before="200" w:after="0"/>
      </w:pPr>
    </w:p>
    <w:p>
      <w:pPr>
        <w:keepNext/>
        <w:spacing w:before="280" w:after="80"/>
        <w:pBdr>
          <w:bottom w:val="single" w:sz="12" w:space="4" w:color="5C768D"/>
        </w:pBdr>
      </w:pPr>
      <w:r>
        <w:rPr>
          <w:rFonts w:ascii="Arial" w:hAnsi="Arial"/>
          <w:b/>
          <w:color w:val="1B365D"/>
          <w:sz w:val="30"/>
        </w:rPr>
        <w:t>Introduction</w:t>
      </w:r>
    </w:p>
    <w:p>
      <w:r>
        <w:t>Decision support is an essential outcome of the Dark Pattern Impact Analytics &amp; Trust Score System. This report explains how analytical findings, trust score evaluation, and dashboard visualizations assist management in making informed business decisions. By analyzing customer reviews, application ratings, and risk indicators, organizations can identify areas requiring improvement and develop effective business strategies.</w:t>
      </w:r>
    </w:p>
    <w:p>
      <w:pPr>
        <w:keepNext/>
        <w:spacing w:before="280" w:after="80"/>
        <w:pBdr>
          <w:bottom w:val="single" w:sz="12" w:space="4" w:color="5C768D"/>
        </w:pBdr>
      </w:pPr>
      <w:r>
        <w:rPr>
          <w:rFonts w:ascii="Arial" w:hAnsi="Arial"/>
          <w:b/>
          <w:color w:val="1B365D"/>
          <w:sz w:val="30"/>
        </w:rPr>
        <w:t>Objectives</w:t>
      </w:r>
    </w:p>
    <w:p>
      <w:r>
        <w:t>The objectives of this report are:</w:t>
      </w:r>
    </w:p>
    <w:p>
      <w:pPr>
        <w:pStyle w:val="ListBullet"/>
        <w:spacing w:after="60"/>
      </w:pPr>
      <w:r>
        <w:t>Support management with analytical insights.</w:t>
      </w:r>
    </w:p>
    <w:p>
      <w:pPr>
        <w:pStyle w:val="ListBullet"/>
        <w:spacing w:after="60"/>
      </w:pPr>
      <w:r>
        <w:t>Improve business decision-making.</w:t>
      </w:r>
    </w:p>
    <w:p>
      <w:pPr>
        <w:pStyle w:val="ListBullet"/>
        <w:spacing w:after="60"/>
      </w:pPr>
      <w:r>
        <w:t>Identify high-risk applications.</w:t>
      </w:r>
    </w:p>
    <w:p>
      <w:pPr>
        <w:pStyle w:val="ListBullet"/>
        <w:spacing w:after="60"/>
      </w:pPr>
      <w:r>
        <w:t>Recommend data-driven strategies.</w:t>
      </w:r>
    </w:p>
    <w:p>
      <w:pPr>
        <w:pStyle w:val="ListBullet"/>
        <w:spacing w:after="60"/>
      </w:pPr>
      <w:r>
        <w:t>Enhance customer trust and satisfaction.</w:t>
      </w:r>
    </w:p>
    <w:p>
      <w:pPr>
        <w:keepNext/>
        <w:spacing w:before="280" w:after="80"/>
        <w:pBdr>
          <w:bottom w:val="single" w:sz="12" w:space="4" w:color="5C768D"/>
        </w:pBdr>
      </w:pPr>
      <w:r>
        <w:rPr>
          <w:rFonts w:ascii="Arial" w:hAnsi="Arial"/>
          <w:b/>
          <w:color w:val="1B365D"/>
          <w:sz w:val="30"/>
        </w:rPr>
        <w:t>Decision Support Analysis</w:t>
      </w:r>
    </w:p>
    <w:p>
      <w:pPr>
        <w:keepNext/>
        <w:spacing w:before="200" w:after="80"/>
      </w:pPr>
      <w:r>
        <w:rPr>
          <w:rFonts w:ascii="Arial" w:hAnsi="Arial"/>
          <w:b/>
          <w:color w:val="5C768D"/>
          <w:sz w:val="25"/>
        </w:rPr>
        <w:t>Trust Score Evaluation</w:t>
      </w:r>
    </w:p>
    <w:p>
      <w:r>
        <w:t>Trust scores provide a measurable indicator of application reliability. Higher trust scores reflect transparent application practices and better customer satisfaction.</w:t>
      </w:r>
    </w:p>
    <w:p>
      <w:pPr>
        <w:keepNext/>
        <w:spacing w:before="200" w:after="80"/>
      </w:pPr>
      <w:r>
        <w:rPr>
          <w:rFonts w:ascii="Arial" w:hAnsi="Arial"/>
          <w:b/>
          <w:color w:val="5C768D"/>
          <w:sz w:val="25"/>
        </w:rPr>
        <w:t>Risk Identification</w:t>
      </w:r>
    </w:p>
    <w:p>
      <w:r>
        <w:t>Applications with lower trust scores and higher risk percentages should be prioritized for improvement. Early identification reduces business risks and improves user confidence.</w:t>
      </w:r>
    </w:p>
    <w:p>
      <w:pPr>
        <w:keepNext/>
        <w:spacing w:before="200" w:after="80"/>
      </w:pPr>
      <w:r>
        <w:rPr>
          <w:rFonts w:ascii="Arial" w:hAnsi="Arial"/>
          <w:b/>
          <w:color w:val="5C768D"/>
          <w:sz w:val="25"/>
        </w:rPr>
        <w:t>Customer Review Analysis</w:t>
      </w:r>
    </w:p>
    <w:p>
      <w:r>
        <w:t>Customer reviews provide valuable feedback regarding application usability, transparency, and overall satisfaction. Continuous review monitoring helps organizations respond to customer needs effectively.</w:t>
      </w:r>
    </w:p>
    <w:p>
      <w:pPr>
        <w:keepNext/>
        <w:spacing w:before="200" w:after="80"/>
      </w:pPr>
      <w:r>
        <w:rPr>
          <w:rFonts w:ascii="Arial" w:hAnsi="Arial"/>
          <w:b/>
          <w:color w:val="5C768D"/>
          <w:sz w:val="25"/>
        </w:rPr>
        <w:t>Dashboard-Based Decision Making</w:t>
      </w:r>
    </w:p>
    <w:p>
      <w:r>
        <w:t>Interactive dashboards summarize key performance indicators, allowing management to compare application performance, monitor trends, and identify business opportunities.</w:t>
      </w:r>
    </w:p>
    <w:p>
      <w:pPr>
        <w:keepNext/>
        <w:spacing w:before="280" w:after="80"/>
        <w:pBdr>
          <w:bottom w:val="single" w:sz="12" w:space="4" w:color="5C768D"/>
        </w:pBdr>
      </w:pPr>
      <w:r>
        <w:rPr>
          <w:rFonts w:ascii="Arial" w:hAnsi="Arial"/>
          <w:b/>
          <w:color w:val="1B365D"/>
          <w:sz w:val="30"/>
        </w:rPr>
        <w:t>Key Findings</w:t>
      </w:r>
    </w:p>
    <w:p>
      <w:pPr>
        <w:pStyle w:val="ListBullet"/>
        <w:spacing w:after="60"/>
      </w:pPr>
      <w:r>
        <w:t>Trust scores support objective application evaluation.</w:t>
      </w:r>
    </w:p>
    <w:p>
      <w:pPr>
        <w:pStyle w:val="ListBullet"/>
        <w:spacing w:after="60"/>
      </w:pPr>
      <w:r>
        <w:t>Dashboard analytics simplify complex data.</w:t>
      </w:r>
    </w:p>
    <w:p>
      <w:pPr>
        <w:pStyle w:val="ListBullet"/>
        <w:spacing w:after="60"/>
      </w:pPr>
      <w:r>
        <w:t>Customer feedback influences strategic planning.</w:t>
      </w:r>
    </w:p>
    <w:p>
      <w:pPr>
        <w:pStyle w:val="ListBullet"/>
        <w:spacing w:after="60"/>
      </w:pPr>
      <w:r>
        <w:t>Risk indicators help prioritize improvement efforts.</w:t>
      </w:r>
    </w:p>
    <w:p>
      <w:pPr>
        <w:pStyle w:val="ListBullet"/>
        <w:spacing w:after="60"/>
      </w:pPr>
      <w:r>
        <w:t>Data-driven decisions improve business performance.</w:t>
      </w:r>
    </w:p>
    <w:p>
      <w:pPr>
        <w:keepNext/>
        <w:spacing w:before="280" w:after="80"/>
        <w:pBdr>
          <w:bottom w:val="single" w:sz="12" w:space="4" w:color="5C768D"/>
        </w:pBdr>
      </w:pPr>
      <w:r>
        <w:rPr>
          <w:rFonts w:ascii="Arial" w:hAnsi="Arial"/>
          <w:b/>
          <w:color w:val="1B365D"/>
          <w:sz w:val="30"/>
        </w:rPr>
        <w:t>Business Benefits</w:t>
      </w:r>
    </w:p>
    <w:p>
      <w:pPr>
        <w:pStyle w:val="ListBullet"/>
        <w:spacing w:after="60"/>
      </w:pPr>
      <w:r>
        <w:t>Improved management decisions.</w:t>
      </w:r>
    </w:p>
    <w:p>
      <w:pPr>
        <w:pStyle w:val="ListBullet"/>
        <w:spacing w:after="60"/>
      </w:pPr>
      <w:r>
        <w:t>Better resource allocation.</w:t>
      </w:r>
    </w:p>
    <w:p>
      <w:pPr>
        <w:pStyle w:val="ListBullet"/>
        <w:spacing w:after="60"/>
      </w:pPr>
      <w:r>
        <w:t>Increased application reliability.</w:t>
      </w:r>
    </w:p>
    <w:p>
      <w:pPr>
        <w:pStyle w:val="ListBullet"/>
        <w:spacing w:after="60"/>
      </w:pPr>
      <w:r>
        <w:t>Higher customer trust.</w:t>
      </w:r>
    </w:p>
    <w:p>
      <w:pPr>
        <w:pStyle w:val="ListBullet"/>
        <w:spacing w:after="60"/>
      </w:pPr>
      <w:r>
        <w:t>Enhanced operational efficiency.</w:t>
      </w:r>
    </w:p>
    <w:p>
      <w:pPr>
        <w:keepNext/>
        <w:spacing w:before="280" w:after="80"/>
        <w:pBdr>
          <w:bottom w:val="single" w:sz="12" w:space="4" w:color="5C768D"/>
        </w:pBdr>
      </w:pPr>
      <w:r>
        <w:rPr>
          <w:rFonts w:ascii="Arial" w:hAnsi="Arial"/>
          <w:b/>
          <w:color w:val="1B365D"/>
          <w:sz w:val="30"/>
        </w:rPr>
        <w:t>Observation</w:t>
      </w:r>
    </w:p>
    <w:p>
      <w:r>
        <w:t>The analytical results provide meaningful insights that enable management to make informed and timely business decisions.</w:t>
      </w:r>
    </w:p>
    <w:p>
      <w:pPr>
        <w:keepNext/>
        <w:spacing w:before="280" w:after="80"/>
        <w:pBdr>
          <w:bottom w:val="single" w:sz="12" w:space="4" w:color="5C768D"/>
        </w:pBdr>
      </w:pPr>
      <w:r>
        <w:rPr>
          <w:rFonts w:ascii="Arial" w:hAnsi="Arial"/>
          <w:b/>
          <w:color w:val="1B365D"/>
          <w:sz w:val="30"/>
        </w:rPr>
        <w:t>Project Relevance</w:t>
      </w:r>
    </w:p>
    <w:p>
      <w:r>
        <w:t>Decision support strengthens the project's objective by converting analytical findings into practical recommendations for improving application quality and customer trust.</w:t>
      </w:r>
    </w:p>
    <w:p>
      <w:pPr>
        <w:keepNext/>
        <w:spacing w:before="280" w:after="80"/>
        <w:pBdr>
          <w:bottom w:val="single" w:sz="12" w:space="4" w:color="5C768D"/>
        </w:pBdr>
      </w:pPr>
      <w:r>
        <w:rPr>
          <w:rFonts w:ascii="Arial" w:hAnsi="Arial"/>
          <w:b/>
          <w:color w:val="1B365D"/>
          <w:sz w:val="30"/>
        </w:rPr>
        <w:t>Files Created</w:t>
      </w:r>
    </w:p>
    <w:p>
      <w:pPr>
        <w:pStyle w:val="ListBullet"/>
        <w:spacing w:after="60"/>
      </w:pPr>
      <w:r>
        <w:t>decision_support_report.docx</w:t>
      </w:r>
    </w:p>
    <w:p>
      <w:pPr>
        <w:keepNext/>
        <w:spacing w:before="280" w:after="80"/>
        <w:pBdr>
          <w:bottom w:val="single" w:sz="12" w:space="4" w:color="5C768D"/>
        </w:pBdr>
      </w:pPr>
      <w:r>
        <w:rPr>
          <w:rFonts w:ascii="Arial" w:hAnsi="Arial"/>
          <w:b/>
          <w:color w:val="1B365D"/>
          <w:sz w:val="30"/>
        </w:rPr>
        <w:t>Conclusion</w:t>
      </w:r>
    </w:p>
    <w:p>
      <w:r>
        <w:t>The Decision Support Report demonstrates how trust score analytics, customer review analysis, and dashboard insights contribute to strategic decision-making. By utilizing these analytical tools, organizations can improve transparency, strengthen customer relationships, and achieve sustainable business growth.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